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15"/>
        <w:tblW w:w="14596" w:type="dxa"/>
        <w:tblLayout w:type="fixed"/>
        <w:tblLook w:val="04A0" w:firstRow="1" w:lastRow="0" w:firstColumn="1" w:lastColumn="0" w:noHBand="0" w:noVBand="1"/>
      </w:tblPr>
      <w:tblGrid>
        <w:gridCol w:w="2726"/>
        <w:gridCol w:w="1380"/>
        <w:gridCol w:w="10490"/>
      </w:tblGrid>
      <w:tr w:rsidR="00C93774" w:rsidRPr="00152CF2" w14:paraId="654022CC" w14:textId="77777777" w:rsidTr="00C93774">
        <w:tc>
          <w:tcPr>
            <w:tcW w:w="14596" w:type="dxa"/>
            <w:gridSpan w:val="3"/>
            <w:shd w:val="clear" w:color="auto" w:fill="AEAAAA" w:themeFill="background2" w:themeFillShade="BF"/>
          </w:tcPr>
          <w:p w14:paraId="5469431A" w14:textId="43F29ECD" w:rsidR="00C93774" w:rsidRPr="00C93774" w:rsidRDefault="00C93774" w:rsidP="00FF631A">
            <w:pPr>
              <w:rPr>
                <w:rFonts w:ascii="Arial" w:hAnsi="Arial" w:cs="Arial"/>
                <w:b/>
                <w:bCs/>
                <w:sz w:val="20"/>
                <w:szCs w:val="20"/>
              </w:rPr>
            </w:pPr>
            <w:r w:rsidRPr="00C93774">
              <w:rPr>
                <w:rFonts w:ascii="Arial" w:hAnsi="Arial" w:cs="Arial"/>
                <w:b/>
                <w:bCs/>
                <w:sz w:val="20"/>
                <w:szCs w:val="20"/>
              </w:rPr>
              <w:t>CORPORATE</w:t>
            </w:r>
          </w:p>
        </w:tc>
      </w:tr>
      <w:tr w:rsidR="007D78AF" w:rsidRPr="00152CF2" w14:paraId="3D804CC8" w14:textId="77777777" w:rsidTr="007D78AF">
        <w:tc>
          <w:tcPr>
            <w:tcW w:w="2726" w:type="dxa"/>
          </w:tcPr>
          <w:p w14:paraId="371057D3" w14:textId="77777777" w:rsidR="007D78AF" w:rsidRPr="00152CF2" w:rsidRDefault="007D78AF" w:rsidP="00FF631A">
            <w:pPr>
              <w:rPr>
                <w:rFonts w:ascii="Arial" w:hAnsi="Arial" w:cs="Arial"/>
                <w:sz w:val="20"/>
                <w:szCs w:val="20"/>
              </w:rPr>
            </w:pPr>
            <w:r w:rsidRPr="00152CF2">
              <w:rPr>
                <w:rFonts w:ascii="Arial" w:hAnsi="Arial" w:cs="Arial"/>
                <w:sz w:val="20"/>
                <w:szCs w:val="20"/>
              </w:rPr>
              <w:t xml:space="preserve">Annual Governance Statement </w:t>
            </w:r>
          </w:p>
          <w:p w14:paraId="0905F992" w14:textId="77777777" w:rsidR="007D78AF" w:rsidRPr="00152CF2" w:rsidRDefault="007D78AF" w:rsidP="00FF631A">
            <w:pPr>
              <w:rPr>
                <w:rFonts w:ascii="Arial" w:hAnsi="Arial" w:cs="Arial"/>
                <w:sz w:val="20"/>
                <w:szCs w:val="20"/>
              </w:rPr>
            </w:pPr>
          </w:p>
        </w:tc>
        <w:tc>
          <w:tcPr>
            <w:tcW w:w="1380" w:type="dxa"/>
          </w:tcPr>
          <w:p w14:paraId="45440731"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tc>
        <w:tc>
          <w:tcPr>
            <w:tcW w:w="10490" w:type="dxa"/>
          </w:tcPr>
          <w:p w14:paraId="5DD4C2A2" w14:textId="77777777" w:rsidR="007D78AF" w:rsidRPr="0016596B" w:rsidRDefault="007D78AF" w:rsidP="00FF631A">
            <w:pPr>
              <w:rPr>
                <w:rFonts w:ascii="Arial" w:hAnsi="Arial" w:cs="Arial"/>
                <w:sz w:val="20"/>
                <w:szCs w:val="20"/>
              </w:rPr>
            </w:pPr>
            <w:r w:rsidRPr="0016596B">
              <w:rPr>
                <w:rFonts w:ascii="Arial" w:hAnsi="Arial" w:cs="Arial"/>
                <w:sz w:val="20"/>
                <w:szCs w:val="20"/>
              </w:rPr>
              <w:t>The review comprised of detailed testing and analysis of the Local Code of Corporate Governance and Service Assurance Statements completed by Directors.</w:t>
            </w:r>
          </w:p>
          <w:p w14:paraId="463BA6E7" w14:textId="77777777" w:rsidR="007D78AF" w:rsidRPr="0016596B" w:rsidRDefault="007D78AF" w:rsidP="00FF631A">
            <w:pPr>
              <w:rPr>
                <w:rFonts w:ascii="Arial" w:hAnsi="Arial" w:cs="Arial"/>
                <w:sz w:val="20"/>
                <w:szCs w:val="20"/>
              </w:rPr>
            </w:pPr>
          </w:p>
          <w:p w14:paraId="797ED4E4" w14:textId="77777777" w:rsidR="007D78AF" w:rsidRPr="0016596B" w:rsidRDefault="007D78AF" w:rsidP="00FF631A">
            <w:pPr>
              <w:rPr>
                <w:rFonts w:ascii="Arial" w:hAnsi="Arial" w:cs="Arial"/>
                <w:sz w:val="20"/>
                <w:szCs w:val="20"/>
              </w:rPr>
            </w:pPr>
            <w:r w:rsidRPr="0016596B">
              <w:rPr>
                <w:rFonts w:ascii="Arial" w:hAnsi="Arial" w:cs="Arial"/>
                <w:sz w:val="20"/>
                <w:szCs w:val="20"/>
              </w:rPr>
              <w:t>Common themes of improvements are included within the Annual Governance Statement Action Plan 2022</w:t>
            </w:r>
          </w:p>
          <w:p w14:paraId="11BA1B07" w14:textId="77777777" w:rsidR="007D78AF" w:rsidRPr="0016596B" w:rsidRDefault="007D78AF" w:rsidP="00FF631A">
            <w:pPr>
              <w:rPr>
                <w:rFonts w:ascii="Arial" w:hAnsi="Arial" w:cs="Arial"/>
                <w:sz w:val="20"/>
                <w:szCs w:val="20"/>
              </w:rPr>
            </w:pPr>
          </w:p>
        </w:tc>
      </w:tr>
      <w:tr w:rsidR="007D78AF" w:rsidRPr="00152CF2" w14:paraId="2AADBD72" w14:textId="77777777" w:rsidTr="007D78AF">
        <w:tc>
          <w:tcPr>
            <w:tcW w:w="2726" w:type="dxa"/>
          </w:tcPr>
          <w:p w14:paraId="7E0E7742" w14:textId="77777777" w:rsidR="007D78AF" w:rsidRPr="00152CF2" w:rsidRDefault="007D78AF" w:rsidP="00FF631A">
            <w:pPr>
              <w:rPr>
                <w:rFonts w:ascii="Arial" w:hAnsi="Arial" w:cs="Arial"/>
                <w:sz w:val="20"/>
                <w:szCs w:val="20"/>
              </w:rPr>
            </w:pPr>
            <w:r w:rsidRPr="00152CF2">
              <w:rPr>
                <w:rFonts w:ascii="Arial" w:hAnsi="Arial" w:cs="Arial"/>
                <w:sz w:val="20"/>
                <w:szCs w:val="20"/>
              </w:rPr>
              <w:t>Anti-Fraud &amp; Corruption</w:t>
            </w:r>
          </w:p>
          <w:p w14:paraId="0C0220AE" w14:textId="77777777" w:rsidR="007D78AF" w:rsidRPr="00152CF2" w:rsidRDefault="007D78AF" w:rsidP="00FF631A">
            <w:pPr>
              <w:rPr>
                <w:rFonts w:ascii="Arial" w:hAnsi="Arial" w:cs="Arial"/>
                <w:sz w:val="20"/>
                <w:szCs w:val="20"/>
              </w:rPr>
            </w:pPr>
          </w:p>
        </w:tc>
        <w:tc>
          <w:tcPr>
            <w:tcW w:w="1380" w:type="dxa"/>
          </w:tcPr>
          <w:p w14:paraId="48AC76DF"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tc>
        <w:tc>
          <w:tcPr>
            <w:tcW w:w="10490" w:type="dxa"/>
          </w:tcPr>
          <w:p w14:paraId="1B5923AD" w14:textId="76300C32" w:rsidR="007D78AF" w:rsidRPr="0016596B" w:rsidRDefault="007D78AF" w:rsidP="00FF631A">
            <w:pPr>
              <w:rPr>
                <w:rFonts w:ascii="Arial" w:hAnsi="Arial" w:cs="Arial"/>
                <w:sz w:val="20"/>
                <w:szCs w:val="20"/>
              </w:rPr>
            </w:pPr>
            <w:r w:rsidRPr="0016596B">
              <w:rPr>
                <w:rFonts w:ascii="Arial" w:hAnsi="Arial" w:cs="Arial"/>
                <w:sz w:val="20"/>
                <w:szCs w:val="20"/>
              </w:rPr>
              <w:t>A full review of the Council’s probity policies was undertaken.  All policies are available to officers on Connect and the Council website.</w:t>
            </w:r>
          </w:p>
          <w:p w14:paraId="45BA7572" w14:textId="77777777" w:rsidR="007D78AF" w:rsidRPr="0016596B" w:rsidRDefault="007D78AF" w:rsidP="00FF631A">
            <w:pPr>
              <w:rPr>
                <w:rFonts w:ascii="Arial" w:hAnsi="Arial" w:cs="Arial"/>
                <w:sz w:val="20"/>
                <w:szCs w:val="20"/>
              </w:rPr>
            </w:pPr>
          </w:p>
          <w:p w14:paraId="1D3868D6" w14:textId="122AEF8B" w:rsidR="007D78AF" w:rsidRPr="0016596B" w:rsidRDefault="007D78AF" w:rsidP="00FF631A">
            <w:pPr>
              <w:rPr>
                <w:rFonts w:ascii="Arial" w:hAnsi="Arial" w:cs="Arial"/>
                <w:sz w:val="20"/>
                <w:szCs w:val="20"/>
              </w:rPr>
            </w:pPr>
            <w:r w:rsidRPr="0016596B">
              <w:rPr>
                <w:rFonts w:ascii="Arial" w:hAnsi="Arial" w:cs="Arial"/>
                <w:sz w:val="20"/>
                <w:szCs w:val="20"/>
              </w:rPr>
              <w:t>Throughout the year, fraud alerts received from various sources are circulated so that officers / the public are made aware of new threats and risks.</w:t>
            </w:r>
          </w:p>
          <w:p w14:paraId="143460E5" w14:textId="3875E9EA" w:rsidR="007D78AF" w:rsidRPr="0016596B" w:rsidRDefault="007D78AF" w:rsidP="00FF631A">
            <w:pPr>
              <w:rPr>
                <w:rFonts w:ascii="Arial" w:hAnsi="Arial" w:cs="Arial"/>
                <w:sz w:val="20"/>
                <w:szCs w:val="20"/>
              </w:rPr>
            </w:pPr>
          </w:p>
          <w:p w14:paraId="181AAC17" w14:textId="77777777" w:rsidR="007D78AF" w:rsidRPr="0016596B" w:rsidRDefault="007D78AF" w:rsidP="00C93774">
            <w:pPr>
              <w:rPr>
                <w:rFonts w:ascii="Arial" w:hAnsi="Arial" w:cs="Arial"/>
                <w:sz w:val="20"/>
                <w:szCs w:val="20"/>
              </w:rPr>
            </w:pPr>
          </w:p>
        </w:tc>
      </w:tr>
      <w:tr w:rsidR="007D78AF" w:rsidRPr="00152CF2" w14:paraId="62164A1A" w14:textId="77777777" w:rsidTr="006B2DC7">
        <w:trPr>
          <w:trHeight w:val="1655"/>
        </w:trPr>
        <w:tc>
          <w:tcPr>
            <w:tcW w:w="2726" w:type="dxa"/>
          </w:tcPr>
          <w:p w14:paraId="66497F4D" w14:textId="106B77CD" w:rsidR="007D78AF" w:rsidRPr="00152CF2" w:rsidRDefault="007D78AF" w:rsidP="00FF631A">
            <w:pPr>
              <w:rPr>
                <w:rFonts w:ascii="Arial" w:hAnsi="Arial" w:cs="Arial"/>
                <w:sz w:val="20"/>
                <w:szCs w:val="20"/>
              </w:rPr>
            </w:pPr>
            <w:r w:rsidRPr="00152CF2">
              <w:rPr>
                <w:rFonts w:ascii="Arial" w:hAnsi="Arial" w:cs="Arial"/>
                <w:sz w:val="20"/>
                <w:szCs w:val="20"/>
              </w:rPr>
              <w:t>National Fraud Initiative</w:t>
            </w:r>
            <w:r w:rsidR="006B2DC7">
              <w:rPr>
                <w:rFonts w:ascii="Arial" w:hAnsi="Arial" w:cs="Arial"/>
                <w:sz w:val="20"/>
                <w:szCs w:val="20"/>
              </w:rPr>
              <w:t xml:space="preserve"> (NFI)</w:t>
            </w:r>
          </w:p>
        </w:tc>
        <w:tc>
          <w:tcPr>
            <w:tcW w:w="1380" w:type="dxa"/>
          </w:tcPr>
          <w:p w14:paraId="2CA5925A"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tc>
        <w:tc>
          <w:tcPr>
            <w:tcW w:w="10490" w:type="dxa"/>
          </w:tcPr>
          <w:p w14:paraId="0544FE63" w14:textId="77777777" w:rsidR="006C521F" w:rsidRPr="0016596B" w:rsidRDefault="006C521F" w:rsidP="006C521F">
            <w:pPr>
              <w:tabs>
                <w:tab w:val="left" w:pos="567"/>
              </w:tabs>
              <w:ind w:right="-284"/>
              <w:rPr>
                <w:rFonts w:ascii="Arial" w:eastAsia="Times New Roman" w:hAnsi="Arial" w:cs="Arial"/>
                <w:sz w:val="20"/>
                <w:szCs w:val="20"/>
                <w:lang w:eastAsia="en-GB"/>
              </w:rPr>
            </w:pPr>
            <w:r w:rsidRPr="0016596B">
              <w:rPr>
                <w:rFonts w:ascii="Arial" w:eastAsia="Times New Roman" w:hAnsi="Arial" w:cs="Arial"/>
                <w:sz w:val="20"/>
                <w:szCs w:val="20"/>
                <w:lang w:eastAsia="en-GB"/>
              </w:rPr>
              <w:t>Data for the main NFI 2022/23 was submitted for trade creditors, housing waiting list,</w:t>
            </w:r>
          </w:p>
          <w:p w14:paraId="1F8A8F33" w14:textId="4CF24F03" w:rsidR="006C521F" w:rsidRPr="0016596B" w:rsidRDefault="006C521F" w:rsidP="006C521F">
            <w:pPr>
              <w:tabs>
                <w:tab w:val="left" w:pos="567"/>
              </w:tabs>
              <w:ind w:right="-284"/>
              <w:rPr>
                <w:rFonts w:ascii="Arial" w:eastAsia="Times New Roman" w:hAnsi="Arial" w:cs="Arial"/>
                <w:sz w:val="20"/>
                <w:szCs w:val="20"/>
                <w:lang w:eastAsia="en-GB"/>
              </w:rPr>
            </w:pPr>
            <w:r w:rsidRPr="0016596B">
              <w:rPr>
                <w:rFonts w:ascii="Arial" w:eastAsia="Times New Roman" w:hAnsi="Arial" w:cs="Arial"/>
                <w:sz w:val="20"/>
                <w:szCs w:val="20"/>
                <w:lang w:eastAsia="en-GB"/>
              </w:rPr>
              <w:t xml:space="preserve">Council Tax Reduction Scheme, taxi drivers and payroll.  Results </w:t>
            </w:r>
            <w:r w:rsidR="00072BAB" w:rsidRPr="0016596B">
              <w:rPr>
                <w:rFonts w:ascii="Arial" w:eastAsia="Times New Roman" w:hAnsi="Arial" w:cs="Arial"/>
                <w:sz w:val="20"/>
                <w:szCs w:val="20"/>
                <w:lang w:eastAsia="en-GB"/>
              </w:rPr>
              <w:t xml:space="preserve">have been received and the </w:t>
            </w:r>
            <w:r w:rsidRPr="0016596B">
              <w:rPr>
                <w:rFonts w:ascii="Arial" w:eastAsia="Times New Roman" w:hAnsi="Arial" w:cs="Arial"/>
                <w:sz w:val="20"/>
                <w:szCs w:val="20"/>
                <w:lang w:eastAsia="en-GB"/>
              </w:rPr>
              <w:t xml:space="preserve">investigatory </w:t>
            </w:r>
            <w:proofErr w:type="gramStart"/>
            <w:r w:rsidRPr="0016596B">
              <w:rPr>
                <w:rFonts w:ascii="Arial" w:eastAsia="Times New Roman" w:hAnsi="Arial" w:cs="Arial"/>
                <w:sz w:val="20"/>
                <w:szCs w:val="20"/>
                <w:lang w:eastAsia="en-GB"/>
              </w:rPr>
              <w:t xml:space="preserve">work  </w:t>
            </w:r>
            <w:r w:rsidR="00072BAB" w:rsidRPr="0016596B">
              <w:rPr>
                <w:rFonts w:ascii="Arial" w:eastAsia="Times New Roman" w:hAnsi="Arial" w:cs="Arial"/>
                <w:sz w:val="20"/>
                <w:szCs w:val="20"/>
                <w:lang w:eastAsia="en-GB"/>
              </w:rPr>
              <w:t>has</w:t>
            </w:r>
            <w:proofErr w:type="gramEnd"/>
            <w:r w:rsidR="00072BAB" w:rsidRPr="0016596B">
              <w:rPr>
                <w:rFonts w:ascii="Arial" w:eastAsia="Times New Roman" w:hAnsi="Arial" w:cs="Arial"/>
                <w:sz w:val="20"/>
                <w:szCs w:val="20"/>
                <w:lang w:eastAsia="en-GB"/>
              </w:rPr>
              <w:t xml:space="preserve"> commenced. </w:t>
            </w:r>
          </w:p>
          <w:p w14:paraId="21A453C6" w14:textId="77777777" w:rsidR="006C521F" w:rsidRPr="0016596B" w:rsidRDefault="006C521F" w:rsidP="006C521F">
            <w:pPr>
              <w:tabs>
                <w:tab w:val="left" w:pos="567"/>
              </w:tabs>
              <w:ind w:right="-284"/>
              <w:rPr>
                <w:rFonts w:ascii="Arial" w:eastAsia="Times New Roman" w:hAnsi="Arial" w:cs="Arial"/>
                <w:sz w:val="20"/>
                <w:szCs w:val="20"/>
                <w:lang w:eastAsia="en-GB"/>
              </w:rPr>
            </w:pPr>
          </w:p>
          <w:p w14:paraId="382E87E8" w14:textId="77777777" w:rsidR="006C521F" w:rsidRPr="0016596B" w:rsidRDefault="006C521F" w:rsidP="006C521F">
            <w:pPr>
              <w:tabs>
                <w:tab w:val="left" w:pos="567"/>
              </w:tabs>
              <w:ind w:right="-284"/>
              <w:rPr>
                <w:rFonts w:ascii="Arial" w:eastAsia="Times New Roman" w:hAnsi="Arial" w:cs="Arial"/>
                <w:sz w:val="20"/>
                <w:szCs w:val="20"/>
                <w:lang w:eastAsia="en-GB"/>
              </w:rPr>
            </w:pPr>
          </w:p>
          <w:p w14:paraId="6C2092DD" w14:textId="2B60F6C9" w:rsidR="006C521F" w:rsidRPr="0016596B" w:rsidRDefault="006C521F" w:rsidP="006C521F">
            <w:pPr>
              <w:tabs>
                <w:tab w:val="left" w:pos="567"/>
              </w:tabs>
              <w:ind w:right="-284"/>
              <w:rPr>
                <w:rFonts w:ascii="Arial" w:eastAsia="Times New Roman" w:hAnsi="Arial" w:cs="Arial"/>
                <w:sz w:val="20"/>
                <w:szCs w:val="20"/>
                <w:lang w:eastAsia="en-GB"/>
              </w:rPr>
            </w:pPr>
            <w:r w:rsidRPr="0016596B">
              <w:rPr>
                <w:rFonts w:ascii="Arial" w:eastAsia="Times New Roman" w:hAnsi="Arial" w:cs="Arial"/>
                <w:sz w:val="20"/>
                <w:szCs w:val="20"/>
                <w:lang w:eastAsia="en-GB"/>
              </w:rPr>
              <w:t>Internal Audit are currently working with data holders to meet the Cabinet Office data requirements for the forthcoming Council Tax SPD 202</w:t>
            </w:r>
            <w:r w:rsidR="00072BAB" w:rsidRPr="0016596B">
              <w:rPr>
                <w:rFonts w:ascii="Arial" w:eastAsia="Times New Roman" w:hAnsi="Arial" w:cs="Arial"/>
                <w:sz w:val="20"/>
                <w:szCs w:val="20"/>
                <w:lang w:eastAsia="en-GB"/>
              </w:rPr>
              <w:t>3</w:t>
            </w:r>
            <w:r w:rsidRPr="0016596B">
              <w:rPr>
                <w:rFonts w:ascii="Arial" w:eastAsia="Times New Roman" w:hAnsi="Arial" w:cs="Arial"/>
                <w:sz w:val="20"/>
                <w:szCs w:val="20"/>
                <w:lang w:eastAsia="en-GB"/>
              </w:rPr>
              <w:t xml:space="preserve"> exercise.</w:t>
            </w:r>
          </w:p>
          <w:p w14:paraId="6B769D55" w14:textId="77777777" w:rsidR="007D78AF" w:rsidRPr="0016596B" w:rsidRDefault="007D78AF" w:rsidP="00C93774">
            <w:pPr>
              <w:pStyle w:val="Heading2"/>
              <w:outlineLvl w:val="1"/>
              <w:rPr>
                <w:rFonts w:ascii="Arial" w:hAnsi="Arial" w:cs="Arial"/>
                <w:sz w:val="20"/>
                <w:szCs w:val="20"/>
              </w:rPr>
            </w:pPr>
          </w:p>
        </w:tc>
      </w:tr>
      <w:tr w:rsidR="007D78AF" w:rsidRPr="00152CF2" w14:paraId="0C083CF1" w14:textId="77777777" w:rsidTr="007D78AF">
        <w:tc>
          <w:tcPr>
            <w:tcW w:w="2726" w:type="dxa"/>
          </w:tcPr>
          <w:p w14:paraId="1BE570F8" w14:textId="3BD712AE" w:rsidR="007D78AF" w:rsidRPr="00152CF2" w:rsidRDefault="007D78AF" w:rsidP="00C93774">
            <w:pPr>
              <w:rPr>
                <w:rFonts w:ascii="Arial" w:hAnsi="Arial" w:cs="Arial"/>
                <w:sz w:val="20"/>
                <w:szCs w:val="20"/>
              </w:rPr>
            </w:pPr>
            <w:r w:rsidRPr="00152CF2">
              <w:rPr>
                <w:rFonts w:ascii="Arial" w:hAnsi="Arial" w:cs="Arial"/>
                <w:sz w:val="20"/>
                <w:szCs w:val="20"/>
              </w:rPr>
              <w:t xml:space="preserve">COVID </w:t>
            </w:r>
            <w:r w:rsidR="00C93774">
              <w:rPr>
                <w:rFonts w:ascii="Arial" w:hAnsi="Arial" w:cs="Arial"/>
                <w:sz w:val="20"/>
                <w:szCs w:val="20"/>
              </w:rPr>
              <w:t xml:space="preserve">Grant Assurance </w:t>
            </w:r>
          </w:p>
        </w:tc>
        <w:tc>
          <w:tcPr>
            <w:tcW w:w="1380" w:type="dxa"/>
          </w:tcPr>
          <w:p w14:paraId="7E9BFF80"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p w14:paraId="4C2B942A" w14:textId="17E67179" w:rsidR="007D78AF" w:rsidRPr="00152CF2" w:rsidRDefault="007D78AF" w:rsidP="00FF631A">
            <w:pPr>
              <w:rPr>
                <w:rFonts w:ascii="Arial" w:hAnsi="Arial" w:cs="Arial"/>
                <w:sz w:val="20"/>
                <w:szCs w:val="20"/>
              </w:rPr>
            </w:pPr>
          </w:p>
        </w:tc>
        <w:tc>
          <w:tcPr>
            <w:tcW w:w="10490" w:type="dxa"/>
          </w:tcPr>
          <w:p w14:paraId="6DD179EA" w14:textId="77777777" w:rsidR="006C521F" w:rsidRPr="0016596B" w:rsidRDefault="00C93774" w:rsidP="006C521F">
            <w:pPr>
              <w:tabs>
                <w:tab w:val="left" w:pos="567"/>
              </w:tabs>
              <w:ind w:right="-284"/>
              <w:rPr>
                <w:rFonts w:ascii="Arial" w:eastAsia="Times New Roman" w:hAnsi="Arial" w:cs="Arial"/>
                <w:lang w:eastAsia="en-GB"/>
              </w:rPr>
            </w:pPr>
            <w:r w:rsidRPr="0016596B">
              <w:rPr>
                <w:rFonts w:ascii="Arial" w:hAnsi="Arial" w:cs="Arial"/>
                <w:sz w:val="20"/>
                <w:szCs w:val="20"/>
              </w:rPr>
              <w:t>Internal Audit participated in the BEIS post payment assurance verification process; providing the required evidence to support the payments made are compliant with the grant eligibility criteria.</w:t>
            </w:r>
            <w:r w:rsidR="006C521F" w:rsidRPr="0016596B">
              <w:rPr>
                <w:rFonts w:ascii="Arial" w:eastAsia="Times New Roman" w:hAnsi="Arial" w:cs="Arial"/>
                <w:lang w:eastAsia="en-GB"/>
              </w:rPr>
              <w:t xml:space="preserve"> </w:t>
            </w:r>
          </w:p>
          <w:p w14:paraId="45511231" w14:textId="77777777" w:rsidR="006C521F" w:rsidRPr="0016596B" w:rsidRDefault="006C521F" w:rsidP="006C521F">
            <w:pPr>
              <w:tabs>
                <w:tab w:val="left" w:pos="567"/>
              </w:tabs>
              <w:ind w:right="-284"/>
              <w:rPr>
                <w:rFonts w:ascii="Arial" w:eastAsia="Times New Roman" w:hAnsi="Arial" w:cs="Arial"/>
                <w:lang w:eastAsia="en-GB"/>
              </w:rPr>
            </w:pPr>
          </w:p>
          <w:p w14:paraId="2A2ABDC7" w14:textId="2744D139" w:rsidR="006C521F" w:rsidRPr="0016596B" w:rsidRDefault="006C521F" w:rsidP="006C521F">
            <w:pPr>
              <w:tabs>
                <w:tab w:val="left" w:pos="567"/>
              </w:tabs>
              <w:ind w:right="-284"/>
              <w:rPr>
                <w:rFonts w:ascii="Arial" w:hAnsi="Arial" w:cs="Arial"/>
                <w:sz w:val="20"/>
                <w:szCs w:val="20"/>
              </w:rPr>
            </w:pPr>
            <w:r w:rsidRPr="0016596B">
              <w:rPr>
                <w:rFonts w:ascii="Arial" w:eastAsia="Times New Roman" w:hAnsi="Arial" w:cs="Arial"/>
                <w:sz w:val="20"/>
                <w:szCs w:val="20"/>
                <w:lang w:eastAsia="en-GB"/>
              </w:rPr>
              <w:t xml:space="preserve">Following on from evidence provided to support </w:t>
            </w:r>
            <w:r w:rsidRPr="0016596B">
              <w:rPr>
                <w:rFonts w:ascii="Arial" w:hAnsi="Arial" w:cs="Arial"/>
                <w:sz w:val="20"/>
                <w:szCs w:val="20"/>
              </w:rPr>
              <w:t>COVID-19 Business Grants schemes – (Cohort 1)</w:t>
            </w:r>
            <w:r w:rsidRPr="0016596B">
              <w:rPr>
                <w:rFonts w:ascii="Arial" w:eastAsia="Times New Roman" w:hAnsi="Arial" w:cs="Arial"/>
                <w:sz w:val="20"/>
                <w:szCs w:val="20"/>
                <w:lang w:eastAsia="en-GB"/>
              </w:rPr>
              <w:t xml:space="preserve">, confirmation has been received from the </w:t>
            </w:r>
            <w:r w:rsidRPr="0016596B">
              <w:rPr>
                <w:rFonts w:ascii="Arial" w:hAnsi="Arial" w:cs="Arial"/>
                <w:sz w:val="20"/>
                <w:szCs w:val="20"/>
              </w:rPr>
              <w:t>Department for Business, Energy and Industrial Strategy (BEIS), that SRBC followed an appropriate and robust process in completing the assurance checks when awarding and paying a grant.</w:t>
            </w:r>
          </w:p>
          <w:p w14:paraId="56011DCC" w14:textId="44BF3643" w:rsidR="006B2DC7" w:rsidRPr="0016596B" w:rsidRDefault="006B2DC7" w:rsidP="00C93774">
            <w:pPr>
              <w:rPr>
                <w:rFonts w:ascii="Arial" w:hAnsi="Arial" w:cs="Arial"/>
                <w:sz w:val="20"/>
                <w:szCs w:val="20"/>
              </w:rPr>
            </w:pPr>
          </w:p>
          <w:p w14:paraId="6783C70F" w14:textId="77777777" w:rsidR="00C93774" w:rsidRPr="0016596B" w:rsidRDefault="00C93774" w:rsidP="00C93774">
            <w:pPr>
              <w:rPr>
                <w:rFonts w:ascii="Arial" w:hAnsi="Arial" w:cs="Arial"/>
                <w:sz w:val="20"/>
                <w:szCs w:val="20"/>
              </w:rPr>
            </w:pPr>
          </w:p>
          <w:p w14:paraId="4A48D134" w14:textId="161B45DC" w:rsidR="00C93774" w:rsidRPr="0016596B" w:rsidRDefault="00C93774" w:rsidP="00C93774">
            <w:pPr>
              <w:rPr>
                <w:rFonts w:ascii="Arial" w:hAnsi="Arial" w:cs="Arial"/>
                <w:sz w:val="20"/>
                <w:szCs w:val="20"/>
              </w:rPr>
            </w:pPr>
            <w:r w:rsidRPr="0016596B">
              <w:rPr>
                <w:rFonts w:ascii="Arial" w:hAnsi="Arial" w:cs="Arial"/>
                <w:sz w:val="20"/>
                <w:szCs w:val="20"/>
              </w:rPr>
              <w:t>In addition, assurance was provided in relation to the Containing Outbreak Management Fund and Test and Trace Support Payment grant determination sign off.</w:t>
            </w:r>
          </w:p>
          <w:p w14:paraId="2F53CDB5" w14:textId="77777777" w:rsidR="006C521F" w:rsidRPr="0016596B" w:rsidRDefault="006C521F" w:rsidP="00C93774">
            <w:pPr>
              <w:rPr>
                <w:rFonts w:ascii="Arial" w:hAnsi="Arial" w:cs="Arial"/>
                <w:sz w:val="20"/>
                <w:szCs w:val="20"/>
              </w:rPr>
            </w:pPr>
          </w:p>
          <w:p w14:paraId="3EDFE055" w14:textId="3DE9B81C" w:rsidR="00C93774" w:rsidRPr="0016596B" w:rsidRDefault="00C93774" w:rsidP="00C93774">
            <w:pPr>
              <w:rPr>
                <w:rFonts w:ascii="Arial" w:hAnsi="Arial" w:cs="Arial"/>
                <w:sz w:val="20"/>
                <w:szCs w:val="20"/>
              </w:rPr>
            </w:pPr>
          </w:p>
        </w:tc>
      </w:tr>
      <w:tr w:rsidR="00C93774" w:rsidRPr="00152CF2" w14:paraId="52FBE86A" w14:textId="77777777" w:rsidTr="00C93774">
        <w:trPr>
          <w:trHeight w:val="437"/>
        </w:trPr>
        <w:tc>
          <w:tcPr>
            <w:tcW w:w="14596" w:type="dxa"/>
            <w:gridSpan w:val="3"/>
            <w:shd w:val="clear" w:color="auto" w:fill="AEAAAA" w:themeFill="background2" w:themeFillShade="BF"/>
          </w:tcPr>
          <w:p w14:paraId="5EBF2FA6" w14:textId="6B591586" w:rsidR="00C93774" w:rsidRPr="00C93774" w:rsidRDefault="00C93774" w:rsidP="007D78AF">
            <w:pPr>
              <w:rPr>
                <w:rFonts w:ascii="Arial" w:hAnsi="Arial" w:cs="Arial"/>
                <w:b/>
                <w:bCs/>
                <w:sz w:val="20"/>
                <w:szCs w:val="20"/>
              </w:rPr>
            </w:pPr>
            <w:r w:rsidRPr="00C93774">
              <w:rPr>
                <w:rFonts w:ascii="Arial" w:hAnsi="Arial" w:cs="Arial"/>
                <w:b/>
                <w:bCs/>
                <w:sz w:val="20"/>
                <w:szCs w:val="20"/>
              </w:rPr>
              <w:lastRenderedPageBreak/>
              <w:t>CUSTOMER AND DIGITAL</w:t>
            </w:r>
          </w:p>
        </w:tc>
      </w:tr>
      <w:tr w:rsidR="007D78AF" w:rsidRPr="00152CF2" w14:paraId="50DBC819" w14:textId="77777777" w:rsidTr="007D78AF">
        <w:tc>
          <w:tcPr>
            <w:tcW w:w="2726" w:type="dxa"/>
          </w:tcPr>
          <w:p w14:paraId="58081A99" w14:textId="77777777" w:rsidR="007D78AF" w:rsidRDefault="00C93774" w:rsidP="00FF631A">
            <w:pPr>
              <w:rPr>
                <w:rFonts w:ascii="Arial" w:hAnsi="Arial" w:cs="Arial"/>
                <w:b/>
                <w:bCs/>
                <w:sz w:val="20"/>
                <w:szCs w:val="20"/>
              </w:rPr>
            </w:pPr>
            <w:r w:rsidRPr="002B0361">
              <w:rPr>
                <w:rFonts w:ascii="Arial" w:hAnsi="Arial" w:cs="Arial"/>
                <w:b/>
                <w:bCs/>
                <w:sz w:val="20"/>
                <w:szCs w:val="20"/>
              </w:rPr>
              <w:t>Customer Services</w:t>
            </w:r>
          </w:p>
          <w:p w14:paraId="5CE25A48" w14:textId="5B8D5524" w:rsidR="002B0361" w:rsidRPr="002B0361" w:rsidRDefault="002B0361" w:rsidP="00FF631A">
            <w:pPr>
              <w:rPr>
                <w:rFonts w:ascii="Arial" w:hAnsi="Arial" w:cs="Arial"/>
                <w:b/>
                <w:bCs/>
                <w:sz w:val="20"/>
                <w:szCs w:val="20"/>
              </w:rPr>
            </w:pPr>
          </w:p>
        </w:tc>
        <w:tc>
          <w:tcPr>
            <w:tcW w:w="1380" w:type="dxa"/>
          </w:tcPr>
          <w:p w14:paraId="72AE517F" w14:textId="0A6EF6D9" w:rsidR="007D78AF" w:rsidRPr="00152CF2" w:rsidRDefault="007D78AF" w:rsidP="00FF631A">
            <w:pPr>
              <w:rPr>
                <w:rFonts w:ascii="Arial" w:hAnsi="Arial" w:cs="Arial"/>
                <w:sz w:val="20"/>
                <w:szCs w:val="20"/>
              </w:rPr>
            </w:pPr>
          </w:p>
        </w:tc>
        <w:tc>
          <w:tcPr>
            <w:tcW w:w="10490" w:type="dxa"/>
          </w:tcPr>
          <w:p w14:paraId="24797112" w14:textId="2199BE4A" w:rsidR="007D78AF" w:rsidRPr="00152CF2" w:rsidRDefault="007D78AF" w:rsidP="00152CF2">
            <w:pPr>
              <w:jc w:val="both"/>
              <w:rPr>
                <w:rFonts w:ascii="Arial" w:hAnsi="Arial" w:cs="Arial"/>
                <w:sz w:val="20"/>
                <w:szCs w:val="20"/>
              </w:rPr>
            </w:pPr>
          </w:p>
        </w:tc>
      </w:tr>
      <w:tr w:rsidR="007D78AF" w:rsidRPr="00152CF2" w14:paraId="12F824DB" w14:textId="77777777" w:rsidTr="007D78AF">
        <w:tc>
          <w:tcPr>
            <w:tcW w:w="2726" w:type="dxa"/>
          </w:tcPr>
          <w:p w14:paraId="75A3BE00" w14:textId="77777777" w:rsidR="007D78AF" w:rsidRDefault="004D5C54" w:rsidP="00FF631A">
            <w:pPr>
              <w:rPr>
                <w:rFonts w:ascii="Arial" w:hAnsi="Arial" w:cs="Arial"/>
                <w:sz w:val="20"/>
                <w:szCs w:val="20"/>
              </w:rPr>
            </w:pPr>
            <w:r>
              <w:rPr>
                <w:rFonts w:ascii="Arial" w:hAnsi="Arial" w:cs="Arial"/>
                <w:sz w:val="20"/>
                <w:szCs w:val="20"/>
              </w:rPr>
              <w:t xml:space="preserve">Revenue and Benefits </w:t>
            </w:r>
            <w:r w:rsidR="00C93774">
              <w:rPr>
                <w:rFonts w:ascii="Arial" w:hAnsi="Arial" w:cs="Arial"/>
                <w:sz w:val="20"/>
                <w:szCs w:val="20"/>
              </w:rPr>
              <w:t>Project Support</w:t>
            </w:r>
          </w:p>
          <w:p w14:paraId="1A98439F" w14:textId="7357429F" w:rsidR="004D5C54" w:rsidRPr="00152CF2" w:rsidRDefault="004D5C54" w:rsidP="00FF631A">
            <w:pPr>
              <w:rPr>
                <w:rFonts w:ascii="Arial" w:hAnsi="Arial" w:cs="Arial"/>
                <w:sz w:val="20"/>
                <w:szCs w:val="20"/>
              </w:rPr>
            </w:pPr>
          </w:p>
        </w:tc>
        <w:tc>
          <w:tcPr>
            <w:tcW w:w="1380" w:type="dxa"/>
          </w:tcPr>
          <w:p w14:paraId="5E66EAC0" w14:textId="503E69EE" w:rsidR="007D78AF" w:rsidRPr="00152CF2" w:rsidRDefault="00C93774" w:rsidP="00FF631A">
            <w:pPr>
              <w:rPr>
                <w:rFonts w:ascii="Arial" w:hAnsi="Arial" w:cs="Arial"/>
                <w:sz w:val="20"/>
                <w:szCs w:val="20"/>
              </w:rPr>
            </w:pPr>
            <w:r>
              <w:rPr>
                <w:rFonts w:ascii="Arial" w:hAnsi="Arial" w:cs="Arial"/>
                <w:sz w:val="20"/>
                <w:szCs w:val="20"/>
              </w:rPr>
              <w:t>Not applicable</w:t>
            </w:r>
          </w:p>
        </w:tc>
        <w:tc>
          <w:tcPr>
            <w:tcW w:w="10490" w:type="dxa"/>
          </w:tcPr>
          <w:p w14:paraId="2D48A63C" w14:textId="11F9E1C1" w:rsidR="00152CF2" w:rsidRPr="00152CF2" w:rsidRDefault="0016596B" w:rsidP="00152CF2">
            <w:pPr>
              <w:rPr>
                <w:rFonts w:ascii="Arial" w:hAnsi="Arial" w:cs="Arial"/>
                <w:sz w:val="20"/>
                <w:szCs w:val="20"/>
              </w:rPr>
            </w:pPr>
            <w:r w:rsidRPr="00B91C4A">
              <w:rPr>
                <w:rFonts w:ascii="Arial" w:hAnsi="Arial" w:cs="Arial"/>
                <w:sz w:val="20"/>
                <w:szCs w:val="20"/>
              </w:rPr>
              <w:t>Following the implementation of a Shared Service within Revenues and Benefits, Internal Audit play an active role in the project team reviewing and aligning processes to ensure they are both robust and resilient</w:t>
            </w:r>
          </w:p>
        </w:tc>
      </w:tr>
      <w:tr w:rsidR="007D78AF" w:rsidRPr="00152CF2" w14:paraId="20405DD8" w14:textId="77777777" w:rsidTr="007D78AF">
        <w:tc>
          <w:tcPr>
            <w:tcW w:w="2726" w:type="dxa"/>
          </w:tcPr>
          <w:p w14:paraId="4593BD26" w14:textId="77777777" w:rsidR="007D78AF" w:rsidRDefault="00C93774" w:rsidP="00FF631A">
            <w:pPr>
              <w:rPr>
                <w:rFonts w:ascii="Arial" w:hAnsi="Arial" w:cs="Arial"/>
                <w:b/>
                <w:bCs/>
                <w:sz w:val="20"/>
                <w:szCs w:val="20"/>
              </w:rPr>
            </w:pPr>
            <w:r w:rsidRPr="002B0361">
              <w:rPr>
                <w:rFonts w:ascii="Arial" w:hAnsi="Arial" w:cs="Arial"/>
                <w:b/>
                <w:bCs/>
                <w:sz w:val="20"/>
                <w:szCs w:val="20"/>
              </w:rPr>
              <w:t>ICT</w:t>
            </w:r>
          </w:p>
          <w:p w14:paraId="54AAA5FF" w14:textId="49F1353A" w:rsidR="002B0361" w:rsidRPr="002B0361" w:rsidRDefault="002B0361" w:rsidP="00FF631A">
            <w:pPr>
              <w:rPr>
                <w:rFonts w:ascii="Arial" w:hAnsi="Arial" w:cs="Arial"/>
                <w:b/>
                <w:bCs/>
                <w:sz w:val="20"/>
                <w:szCs w:val="20"/>
              </w:rPr>
            </w:pPr>
          </w:p>
        </w:tc>
        <w:tc>
          <w:tcPr>
            <w:tcW w:w="1380" w:type="dxa"/>
            <w:shd w:val="clear" w:color="auto" w:fill="FFFFFF" w:themeFill="background1"/>
          </w:tcPr>
          <w:p w14:paraId="31AF0992" w14:textId="38D74F46" w:rsidR="007D78AF" w:rsidRPr="00152CF2" w:rsidRDefault="007D78AF" w:rsidP="00FF631A">
            <w:pPr>
              <w:rPr>
                <w:rFonts w:ascii="Arial" w:hAnsi="Arial" w:cs="Arial"/>
                <w:sz w:val="20"/>
                <w:szCs w:val="20"/>
              </w:rPr>
            </w:pPr>
          </w:p>
        </w:tc>
        <w:tc>
          <w:tcPr>
            <w:tcW w:w="10490" w:type="dxa"/>
          </w:tcPr>
          <w:p w14:paraId="0E0E73DC" w14:textId="77777777" w:rsidR="007D78AF" w:rsidRPr="00152CF2" w:rsidRDefault="007D78AF" w:rsidP="00FF631A">
            <w:pPr>
              <w:rPr>
                <w:rFonts w:ascii="Arial" w:hAnsi="Arial" w:cs="Arial"/>
                <w:sz w:val="20"/>
                <w:szCs w:val="20"/>
              </w:rPr>
            </w:pPr>
          </w:p>
        </w:tc>
      </w:tr>
      <w:tr w:rsidR="007D78AF" w:rsidRPr="00152CF2" w14:paraId="4196E0E5" w14:textId="77777777" w:rsidTr="007D78AF">
        <w:tc>
          <w:tcPr>
            <w:tcW w:w="2726" w:type="dxa"/>
          </w:tcPr>
          <w:p w14:paraId="605CE61B" w14:textId="1FB57FEE" w:rsidR="007D78AF" w:rsidRPr="00152CF2" w:rsidRDefault="00C93774" w:rsidP="00FF631A">
            <w:pPr>
              <w:rPr>
                <w:rFonts w:ascii="Arial" w:hAnsi="Arial" w:cs="Arial"/>
                <w:sz w:val="20"/>
                <w:szCs w:val="20"/>
              </w:rPr>
            </w:pPr>
            <w:r>
              <w:rPr>
                <w:rFonts w:ascii="Arial" w:hAnsi="Arial" w:cs="Arial"/>
                <w:sz w:val="20"/>
                <w:szCs w:val="20"/>
              </w:rPr>
              <w:t>Vulnerabilities Management</w:t>
            </w:r>
          </w:p>
        </w:tc>
        <w:tc>
          <w:tcPr>
            <w:tcW w:w="1380" w:type="dxa"/>
          </w:tcPr>
          <w:p w14:paraId="66F49450" w14:textId="53AA2194" w:rsidR="007D78AF" w:rsidRPr="00152CF2" w:rsidRDefault="0016596B" w:rsidP="00FF631A">
            <w:pPr>
              <w:rPr>
                <w:rFonts w:ascii="Arial" w:hAnsi="Arial" w:cs="Arial"/>
                <w:sz w:val="20"/>
                <w:szCs w:val="20"/>
              </w:rPr>
            </w:pPr>
            <w:r>
              <w:rPr>
                <w:rFonts w:ascii="Arial" w:hAnsi="Arial" w:cs="Arial"/>
                <w:sz w:val="20"/>
                <w:szCs w:val="20"/>
              </w:rPr>
              <w:t>To be Confirmed</w:t>
            </w:r>
          </w:p>
        </w:tc>
        <w:tc>
          <w:tcPr>
            <w:tcW w:w="10490" w:type="dxa"/>
          </w:tcPr>
          <w:p w14:paraId="3A39E25A" w14:textId="77777777" w:rsidR="007D78AF" w:rsidRDefault="00CB4FA5" w:rsidP="00FF631A">
            <w:pPr>
              <w:rPr>
                <w:rFonts w:ascii="Arial" w:hAnsi="Arial" w:cs="Arial"/>
                <w:sz w:val="20"/>
                <w:szCs w:val="20"/>
              </w:rPr>
            </w:pPr>
            <w:r>
              <w:rPr>
                <w:rFonts w:ascii="Arial" w:hAnsi="Arial" w:cs="Arial"/>
                <w:sz w:val="20"/>
                <w:szCs w:val="20"/>
              </w:rPr>
              <w:t>This review is due to commence June 2023.</w:t>
            </w:r>
          </w:p>
          <w:p w14:paraId="4FEAC097" w14:textId="780D887C" w:rsidR="00CB4FA5" w:rsidRPr="00152CF2" w:rsidRDefault="00CB4FA5" w:rsidP="00FF631A">
            <w:pPr>
              <w:rPr>
                <w:rFonts w:ascii="Arial" w:hAnsi="Arial" w:cs="Arial"/>
                <w:sz w:val="20"/>
                <w:szCs w:val="20"/>
              </w:rPr>
            </w:pPr>
          </w:p>
        </w:tc>
      </w:tr>
      <w:tr w:rsidR="007D78AF" w:rsidRPr="00152CF2" w14:paraId="3C696417" w14:textId="77777777" w:rsidTr="007D78AF">
        <w:tc>
          <w:tcPr>
            <w:tcW w:w="2726" w:type="dxa"/>
          </w:tcPr>
          <w:p w14:paraId="34C90E7A" w14:textId="4596FD14" w:rsidR="007D78AF" w:rsidRDefault="0016596B" w:rsidP="00FF631A">
            <w:pPr>
              <w:rPr>
                <w:rFonts w:ascii="Arial" w:hAnsi="Arial" w:cs="Arial"/>
                <w:sz w:val="20"/>
                <w:szCs w:val="20"/>
              </w:rPr>
            </w:pPr>
            <w:r>
              <w:rPr>
                <w:rFonts w:ascii="Arial" w:hAnsi="Arial" w:cs="Arial"/>
                <w:sz w:val="20"/>
                <w:szCs w:val="20"/>
              </w:rPr>
              <w:t>ICT Support</w:t>
            </w:r>
          </w:p>
          <w:p w14:paraId="38118332" w14:textId="2305E904" w:rsidR="005D6736" w:rsidRPr="00152CF2" w:rsidRDefault="005D6736" w:rsidP="00FF631A">
            <w:pPr>
              <w:rPr>
                <w:rFonts w:ascii="Arial" w:hAnsi="Arial" w:cs="Arial"/>
                <w:sz w:val="20"/>
                <w:szCs w:val="20"/>
              </w:rPr>
            </w:pPr>
          </w:p>
        </w:tc>
        <w:tc>
          <w:tcPr>
            <w:tcW w:w="1380" w:type="dxa"/>
          </w:tcPr>
          <w:p w14:paraId="12E2D9F4" w14:textId="34506875" w:rsidR="007D78AF" w:rsidRPr="00152CF2" w:rsidRDefault="0016596B" w:rsidP="00FF631A">
            <w:pPr>
              <w:rPr>
                <w:rFonts w:ascii="Arial" w:hAnsi="Arial" w:cs="Arial"/>
                <w:sz w:val="20"/>
                <w:szCs w:val="20"/>
              </w:rPr>
            </w:pPr>
            <w:r>
              <w:rPr>
                <w:rFonts w:ascii="Arial" w:hAnsi="Arial" w:cs="Arial"/>
                <w:sz w:val="20"/>
                <w:szCs w:val="20"/>
              </w:rPr>
              <w:t>To be Confirmed</w:t>
            </w:r>
          </w:p>
        </w:tc>
        <w:tc>
          <w:tcPr>
            <w:tcW w:w="10490" w:type="dxa"/>
          </w:tcPr>
          <w:p w14:paraId="23D00F61" w14:textId="38829DEE" w:rsidR="007D78AF" w:rsidRPr="00152CF2" w:rsidRDefault="0016596B" w:rsidP="00FF631A">
            <w:pPr>
              <w:rPr>
                <w:rFonts w:ascii="Arial" w:hAnsi="Arial" w:cs="Arial"/>
                <w:sz w:val="20"/>
                <w:szCs w:val="20"/>
              </w:rPr>
            </w:pPr>
            <w:r>
              <w:rPr>
                <w:rFonts w:ascii="Arial" w:hAnsi="Arial" w:cs="Arial"/>
                <w:sz w:val="20"/>
                <w:szCs w:val="20"/>
              </w:rPr>
              <w:t>This review is currently in progress and will be reported to the Committee in the first progress report of 23/24.</w:t>
            </w:r>
          </w:p>
        </w:tc>
      </w:tr>
      <w:tr w:rsidR="00072BAB" w:rsidRPr="00152CF2" w14:paraId="342FDD71" w14:textId="77777777" w:rsidTr="00072BAB">
        <w:trPr>
          <w:trHeight w:val="609"/>
        </w:trPr>
        <w:tc>
          <w:tcPr>
            <w:tcW w:w="2726" w:type="dxa"/>
          </w:tcPr>
          <w:p w14:paraId="3C4DEC53" w14:textId="1F8D2C8A" w:rsidR="00072BAB" w:rsidRDefault="00072BAB" w:rsidP="00FF631A">
            <w:pPr>
              <w:rPr>
                <w:rFonts w:ascii="Arial" w:hAnsi="Arial" w:cs="Arial"/>
                <w:sz w:val="20"/>
                <w:szCs w:val="20"/>
              </w:rPr>
            </w:pPr>
            <w:r>
              <w:rPr>
                <w:rFonts w:ascii="Arial" w:hAnsi="Arial" w:cs="Arial"/>
                <w:sz w:val="20"/>
                <w:szCs w:val="20"/>
              </w:rPr>
              <w:t>Project Support</w:t>
            </w:r>
          </w:p>
        </w:tc>
        <w:tc>
          <w:tcPr>
            <w:tcW w:w="1380" w:type="dxa"/>
          </w:tcPr>
          <w:p w14:paraId="146FFDAD" w14:textId="7C1A6113" w:rsidR="00072BAB" w:rsidRPr="00152CF2" w:rsidRDefault="0016596B" w:rsidP="00FF631A">
            <w:pPr>
              <w:rPr>
                <w:rFonts w:ascii="Arial" w:hAnsi="Arial" w:cs="Arial"/>
                <w:sz w:val="20"/>
                <w:szCs w:val="20"/>
              </w:rPr>
            </w:pPr>
            <w:r>
              <w:rPr>
                <w:rFonts w:ascii="Arial" w:hAnsi="Arial" w:cs="Arial"/>
                <w:sz w:val="20"/>
                <w:szCs w:val="20"/>
              </w:rPr>
              <w:t>Not applicable</w:t>
            </w:r>
          </w:p>
        </w:tc>
        <w:tc>
          <w:tcPr>
            <w:tcW w:w="10490" w:type="dxa"/>
          </w:tcPr>
          <w:p w14:paraId="2763A14D" w14:textId="566D6BD9" w:rsidR="00072BAB" w:rsidRDefault="0016596B" w:rsidP="00FF631A">
            <w:pPr>
              <w:rPr>
                <w:rFonts w:ascii="Arial" w:hAnsi="Arial" w:cs="Arial"/>
                <w:sz w:val="20"/>
                <w:szCs w:val="20"/>
              </w:rPr>
            </w:pPr>
            <w:r w:rsidRPr="009D6223">
              <w:rPr>
                <w:rFonts w:ascii="Arial" w:hAnsi="Arial" w:cs="Arial"/>
                <w:sz w:val="20"/>
                <w:szCs w:val="20"/>
              </w:rPr>
              <w:t>Proactive support was provided to assist with Digital Strategy project</w:t>
            </w:r>
          </w:p>
        </w:tc>
      </w:tr>
      <w:tr w:rsidR="001929F2" w:rsidRPr="00152CF2" w14:paraId="77D09CA9" w14:textId="77777777" w:rsidTr="007D78AF">
        <w:tc>
          <w:tcPr>
            <w:tcW w:w="2726" w:type="dxa"/>
          </w:tcPr>
          <w:p w14:paraId="334E3D2A" w14:textId="77777777" w:rsidR="001929F2" w:rsidRDefault="00C93774" w:rsidP="00FF631A">
            <w:pPr>
              <w:rPr>
                <w:rFonts w:ascii="Arial" w:hAnsi="Arial" w:cs="Arial"/>
                <w:b/>
                <w:bCs/>
                <w:sz w:val="20"/>
                <w:szCs w:val="20"/>
              </w:rPr>
            </w:pPr>
            <w:r w:rsidRPr="002B0361">
              <w:rPr>
                <w:rFonts w:ascii="Arial" w:hAnsi="Arial" w:cs="Arial"/>
                <w:b/>
                <w:bCs/>
                <w:sz w:val="20"/>
                <w:szCs w:val="20"/>
              </w:rPr>
              <w:t>Neighbourhoods</w:t>
            </w:r>
          </w:p>
          <w:p w14:paraId="4EFC80A2" w14:textId="4087C2F0" w:rsidR="002B0361" w:rsidRPr="002B0361" w:rsidRDefault="002B0361" w:rsidP="00FF631A">
            <w:pPr>
              <w:rPr>
                <w:rFonts w:ascii="Arial" w:hAnsi="Arial" w:cs="Arial"/>
                <w:b/>
                <w:bCs/>
                <w:sz w:val="20"/>
                <w:szCs w:val="20"/>
              </w:rPr>
            </w:pPr>
          </w:p>
        </w:tc>
        <w:tc>
          <w:tcPr>
            <w:tcW w:w="1380" w:type="dxa"/>
          </w:tcPr>
          <w:p w14:paraId="47DFABC8" w14:textId="6106C870" w:rsidR="001929F2" w:rsidRPr="00152CF2" w:rsidRDefault="001929F2" w:rsidP="00FF631A">
            <w:pPr>
              <w:rPr>
                <w:rFonts w:ascii="Arial" w:hAnsi="Arial" w:cs="Arial"/>
                <w:sz w:val="20"/>
                <w:szCs w:val="20"/>
              </w:rPr>
            </w:pPr>
          </w:p>
        </w:tc>
        <w:tc>
          <w:tcPr>
            <w:tcW w:w="10490" w:type="dxa"/>
          </w:tcPr>
          <w:p w14:paraId="6ACDE4D5" w14:textId="4384EC5B" w:rsidR="001929F2" w:rsidRPr="001929F2" w:rsidRDefault="001929F2" w:rsidP="00FF631A">
            <w:pPr>
              <w:rPr>
                <w:rFonts w:ascii="Arial" w:hAnsi="Arial" w:cs="Arial"/>
                <w:sz w:val="20"/>
                <w:szCs w:val="20"/>
              </w:rPr>
            </w:pPr>
          </w:p>
        </w:tc>
      </w:tr>
      <w:tr w:rsidR="007D78AF" w:rsidRPr="00152CF2" w14:paraId="6FE77341" w14:textId="77777777" w:rsidTr="007D78AF">
        <w:tc>
          <w:tcPr>
            <w:tcW w:w="2726" w:type="dxa"/>
          </w:tcPr>
          <w:p w14:paraId="4096AF83" w14:textId="351025BC" w:rsidR="007D78AF" w:rsidRPr="00152CF2" w:rsidRDefault="00761DC9" w:rsidP="00FF631A">
            <w:pPr>
              <w:rPr>
                <w:rFonts w:ascii="Arial" w:hAnsi="Arial" w:cs="Arial"/>
                <w:sz w:val="20"/>
                <w:szCs w:val="20"/>
              </w:rPr>
            </w:pPr>
            <w:r>
              <w:rPr>
                <w:rFonts w:ascii="Arial" w:hAnsi="Arial" w:cs="Arial"/>
                <w:sz w:val="20"/>
                <w:szCs w:val="20"/>
              </w:rPr>
              <w:t>Workshop Record Management</w:t>
            </w:r>
          </w:p>
        </w:tc>
        <w:tc>
          <w:tcPr>
            <w:tcW w:w="1380" w:type="dxa"/>
            <w:shd w:val="clear" w:color="auto" w:fill="FFFFFF" w:themeFill="background1"/>
          </w:tcPr>
          <w:p w14:paraId="6FD81339" w14:textId="3D3B4A1F" w:rsidR="007D78AF" w:rsidRPr="00152CF2" w:rsidRDefault="00761DC9" w:rsidP="00464B7A">
            <w:pPr>
              <w:rPr>
                <w:rFonts w:ascii="Arial" w:hAnsi="Arial" w:cs="Arial"/>
                <w:sz w:val="20"/>
                <w:szCs w:val="20"/>
              </w:rPr>
            </w:pPr>
            <w:r>
              <w:rPr>
                <w:rFonts w:ascii="Arial" w:hAnsi="Arial" w:cs="Arial"/>
                <w:sz w:val="20"/>
                <w:szCs w:val="20"/>
              </w:rPr>
              <w:t>Adequate</w:t>
            </w:r>
          </w:p>
        </w:tc>
        <w:tc>
          <w:tcPr>
            <w:tcW w:w="10490" w:type="dxa"/>
          </w:tcPr>
          <w:p w14:paraId="6CD7B123" w14:textId="77777777" w:rsidR="007D78AF" w:rsidRPr="0016596B" w:rsidRDefault="00761DC9" w:rsidP="007D78AF">
            <w:pPr>
              <w:rPr>
                <w:rFonts w:ascii="Arial" w:hAnsi="Arial" w:cs="Arial"/>
                <w:sz w:val="20"/>
                <w:szCs w:val="20"/>
              </w:rPr>
            </w:pPr>
            <w:r w:rsidRPr="0016596B">
              <w:rPr>
                <w:rFonts w:ascii="Arial" w:hAnsi="Arial" w:cs="Arial"/>
                <w:sz w:val="20"/>
                <w:szCs w:val="20"/>
              </w:rPr>
              <w:t>There was clear evidence of oversight and management of the following key areas:</w:t>
            </w:r>
          </w:p>
          <w:p w14:paraId="67988D4A" w14:textId="77777777" w:rsidR="00761DC9" w:rsidRPr="0016596B" w:rsidRDefault="00761DC9" w:rsidP="007D78AF">
            <w:pPr>
              <w:rPr>
                <w:rFonts w:ascii="Arial" w:hAnsi="Arial" w:cs="Arial"/>
                <w:sz w:val="20"/>
                <w:szCs w:val="20"/>
              </w:rPr>
            </w:pPr>
          </w:p>
          <w:p w14:paraId="2EB9CB93" w14:textId="77777777" w:rsidR="00761DC9" w:rsidRPr="0016596B" w:rsidRDefault="00761DC9" w:rsidP="00761DC9">
            <w:pPr>
              <w:pStyle w:val="ListParagraph"/>
              <w:numPr>
                <w:ilvl w:val="0"/>
                <w:numId w:val="9"/>
              </w:numPr>
              <w:rPr>
                <w:rFonts w:ascii="Arial" w:hAnsi="Arial" w:cs="Arial"/>
                <w:sz w:val="20"/>
                <w:szCs w:val="20"/>
              </w:rPr>
            </w:pPr>
            <w:r w:rsidRPr="0016596B">
              <w:rPr>
                <w:rFonts w:ascii="Arial" w:hAnsi="Arial" w:cs="Arial"/>
                <w:sz w:val="20"/>
                <w:szCs w:val="20"/>
              </w:rPr>
              <w:t>Maintenance records</w:t>
            </w:r>
          </w:p>
          <w:p w14:paraId="6924DB29" w14:textId="77777777" w:rsidR="00761DC9" w:rsidRPr="0016596B" w:rsidRDefault="00761DC9" w:rsidP="00761DC9">
            <w:pPr>
              <w:pStyle w:val="ListParagraph"/>
              <w:numPr>
                <w:ilvl w:val="0"/>
                <w:numId w:val="9"/>
              </w:numPr>
              <w:rPr>
                <w:rFonts w:ascii="Arial" w:hAnsi="Arial" w:cs="Arial"/>
                <w:sz w:val="20"/>
                <w:szCs w:val="20"/>
              </w:rPr>
            </w:pPr>
            <w:r w:rsidRPr="0016596B">
              <w:rPr>
                <w:rFonts w:ascii="Arial" w:hAnsi="Arial" w:cs="Arial"/>
                <w:sz w:val="20"/>
                <w:szCs w:val="20"/>
              </w:rPr>
              <w:t>Goods and services are procured in compliance with the manufacturers requirements to preserve warranties;</w:t>
            </w:r>
          </w:p>
          <w:p w14:paraId="1341D3D8" w14:textId="77777777" w:rsidR="00761DC9" w:rsidRPr="0016596B" w:rsidRDefault="00761DC9" w:rsidP="00761DC9">
            <w:pPr>
              <w:pStyle w:val="ListParagraph"/>
              <w:numPr>
                <w:ilvl w:val="0"/>
                <w:numId w:val="9"/>
              </w:numPr>
              <w:rPr>
                <w:rFonts w:ascii="Arial" w:hAnsi="Arial" w:cs="Arial"/>
                <w:sz w:val="20"/>
                <w:szCs w:val="20"/>
              </w:rPr>
            </w:pPr>
            <w:r w:rsidRPr="0016596B">
              <w:rPr>
                <w:rFonts w:ascii="Arial" w:hAnsi="Arial" w:cs="Arial"/>
                <w:sz w:val="20"/>
                <w:szCs w:val="20"/>
              </w:rPr>
              <w:t>Best value is being achieved where applicable.</w:t>
            </w:r>
          </w:p>
          <w:p w14:paraId="54C67944" w14:textId="77777777" w:rsidR="00761DC9" w:rsidRPr="0016596B" w:rsidRDefault="00761DC9" w:rsidP="00761DC9">
            <w:pPr>
              <w:rPr>
                <w:rFonts w:ascii="Arial" w:hAnsi="Arial" w:cs="Arial"/>
                <w:sz w:val="20"/>
                <w:szCs w:val="20"/>
              </w:rPr>
            </w:pPr>
          </w:p>
          <w:p w14:paraId="344ED576" w14:textId="1AF93424" w:rsidR="00761DC9" w:rsidRPr="0016596B" w:rsidRDefault="00761DC9" w:rsidP="00761DC9">
            <w:pPr>
              <w:rPr>
                <w:rFonts w:ascii="Arial" w:hAnsi="Arial" w:cs="Arial"/>
                <w:sz w:val="20"/>
                <w:szCs w:val="20"/>
              </w:rPr>
            </w:pPr>
            <w:r w:rsidRPr="0016596B">
              <w:rPr>
                <w:rFonts w:ascii="Arial" w:hAnsi="Arial" w:cs="Arial"/>
                <w:sz w:val="20"/>
                <w:szCs w:val="20"/>
              </w:rPr>
              <w:t>However, our work has identified that there is a lack of active management of the contract with FCC.  There are two areas whereby the control environment could be strengthened;</w:t>
            </w:r>
          </w:p>
          <w:p w14:paraId="2B00742C" w14:textId="77777777" w:rsidR="00761DC9" w:rsidRPr="0016596B" w:rsidRDefault="00761DC9" w:rsidP="00761DC9">
            <w:pPr>
              <w:rPr>
                <w:rFonts w:ascii="Arial" w:hAnsi="Arial" w:cs="Arial"/>
                <w:sz w:val="20"/>
                <w:szCs w:val="20"/>
              </w:rPr>
            </w:pPr>
          </w:p>
          <w:p w14:paraId="4619DCED" w14:textId="77777777" w:rsidR="00761DC9" w:rsidRPr="0016596B" w:rsidRDefault="00761DC9" w:rsidP="00761DC9">
            <w:pPr>
              <w:pStyle w:val="ListParagraph"/>
              <w:numPr>
                <w:ilvl w:val="0"/>
                <w:numId w:val="10"/>
              </w:numPr>
              <w:rPr>
                <w:rFonts w:ascii="Arial" w:hAnsi="Arial" w:cs="Arial"/>
                <w:sz w:val="20"/>
                <w:szCs w:val="20"/>
              </w:rPr>
            </w:pPr>
            <w:r w:rsidRPr="0016596B">
              <w:rPr>
                <w:rFonts w:ascii="Arial" w:hAnsi="Arial" w:cs="Arial"/>
                <w:sz w:val="20"/>
                <w:szCs w:val="20"/>
              </w:rPr>
              <w:t>Ensuring the Consumer Price Index is applied on an annual basis;</w:t>
            </w:r>
          </w:p>
          <w:p w14:paraId="382CF85B" w14:textId="77777777" w:rsidR="00761DC9" w:rsidRPr="0016596B" w:rsidRDefault="00761DC9" w:rsidP="00761DC9">
            <w:pPr>
              <w:pStyle w:val="ListParagraph"/>
              <w:numPr>
                <w:ilvl w:val="0"/>
                <w:numId w:val="10"/>
              </w:numPr>
              <w:rPr>
                <w:rFonts w:ascii="Arial" w:hAnsi="Arial" w:cs="Arial"/>
                <w:sz w:val="20"/>
                <w:szCs w:val="20"/>
              </w:rPr>
            </w:pPr>
            <w:r w:rsidRPr="0016596B">
              <w:rPr>
                <w:rFonts w:ascii="Arial" w:hAnsi="Arial" w:cs="Arial"/>
                <w:sz w:val="20"/>
                <w:szCs w:val="20"/>
              </w:rPr>
              <w:t>Performance monitoring between the Council and FCC.  Whilst monthly monitoring meetings were held on a regular basis prior to COVID, the arrangements have not been re-established since.</w:t>
            </w:r>
          </w:p>
          <w:p w14:paraId="395AC4B1" w14:textId="77777777" w:rsidR="00761DC9" w:rsidRDefault="00761DC9" w:rsidP="00761DC9">
            <w:pPr>
              <w:pStyle w:val="ListParagraph"/>
              <w:rPr>
                <w:rFonts w:ascii="Arial" w:hAnsi="Arial" w:cs="Arial"/>
                <w:sz w:val="20"/>
                <w:szCs w:val="20"/>
              </w:rPr>
            </w:pPr>
          </w:p>
          <w:p w14:paraId="4F665B5B" w14:textId="62D5AB98" w:rsidR="00761DC9" w:rsidRPr="00761DC9" w:rsidRDefault="00761DC9" w:rsidP="00761DC9">
            <w:pPr>
              <w:pStyle w:val="ListParagraph"/>
              <w:ind w:left="39"/>
              <w:rPr>
                <w:rFonts w:ascii="Arial" w:hAnsi="Arial" w:cs="Arial"/>
                <w:sz w:val="20"/>
                <w:szCs w:val="20"/>
              </w:rPr>
            </w:pPr>
          </w:p>
        </w:tc>
      </w:tr>
      <w:tr w:rsidR="002B0361" w:rsidRPr="00152CF2" w14:paraId="2D6CBCAB" w14:textId="77777777" w:rsidTr="001D3D4F">
        <w:trPr>
          <w:trHeight w:val="3393"/>
        </w:trPr>
        <w:tc>
          <w:tcPr>
            <w:tcW w:w="2726" w:type="dxa"/>
          </w:tcPr>
          <w:p w14:paraId="14E2CB3B" w14:textId="23D8E730" w:rsidR="002B0361" w:rsidRDefault="002B0361" w:rsidP="00FF631A">
            <w:pPr>
              <w:rPr>
                <w:rFonts w:ascii="Arial" w:hAnsi="Arial" w:cs="Arial"/>
                <w:sz w:val="20"/>
                <w:szCs w:val="20"/>
              </w:rPr>
            </w:pPr>
            <w:r>
              <w:rPr>
                <w:rFonts w:ascii="Arial" w:hAnsi="Arial" w:cs="Arial"/>
                <w:sz w:val="20"/>
                <w:szCs w:val="20"/>
              </w:rPr>
              <w:lastRenderedPageBreak/>
              <w:t>Waste Services</w:t>
            </w:r>
          </w:p>
        </w:tc>
        <w:tc>
          <w:tcPr>
            <w:tcW w:w="1380" w:type="dxa"/>
            <w:shd w:val="clear" w:color="auto" w:fill="FFFFFF" w:themeFill="background1"/>
          </w:tcPr>
          <w:p w14:paraId="5B9B5B24" w14:textId="28B70F48" w:rsidR="002B0361" w:rsidRDefault="005713B4" w:rsidP="00464B7A">
            <w:pPr>
              <w:rPr>
                <w:rFonts w:ascii="Arial" w:hAnsi="Arial" w:cs="Arial"/>
                <w:sz w:val="20"/>
                <w:szCs w:val="20"/>
              </w:rPr>
            </w:pPr>
            <w:r>
              <w:rPr>
                <w:rFonts w:ascii="Arial" w:hAnsi="Arial" w:cs="Arial"/>
                <w:sz w:val="20"/>
                <w:szCs w:val="20"/>
              </w:rPr>
              <w:t>Limited</w:t>
            </w:r>
          </w:p>
        </w:tc>
        <w:tc>
          <w:tcPr>
            <w:tcW w:w="10490" w:type="dxa"/>
          </w:tcPr>
          <w:p w14:paraId="5A9E4492" w14:textId="7025E313" w:rsidR="001D3D4F" w:rsidRPr="001D3D4F" w:rsidRDefault="001D3D4F" w:rsidP="001D3D4F">
            <w:pPr>
              <w:jc w:val="both"/>
              <w:rPr>
                <w:rFonts w:ascii="Arial" w:hAnsi="Arial" w:cs="Arial"/>
                <w:sz w:val="20"/>
                <w:szCs w:val="20"/>
              </w:rPr>
            </w:pPr>
            <w:r w:rsidRPr="001D3D4F">
              <w:rPr>
                <w:rFonts w:ascii="Arial" w:hAnsi="Arial" w:cs="Arial"/>
                <w:sz w:val="20"/>
                <w:szCs w:val="20"/>
              </w:rPr>
              <w:t xml:space="preserve">Early in 2022, the Council made the decision to in-source the waste service and is now undertaking the collection of residential household waste using an in-house team.  </w:t>
            </w:r>
          </w:p>
          <w:p w14:paraId="78853C05" w14:textId="77777777" w:rsidR="001D3D4F" w:rsidRPr="001D3D4F" w:rsidRDefault="001D3D4F" w:rsidP="001D3D4F">
            <w:pPr>
              <w:jc w:val="both"/>
              <w:rPr>
                <w:rFonts w:ascii="Arial" w:hAnsi="Arial" w:cs="Arial"/>
                <w:sz w:val="20"/>
                <w:szCs w:val="20"/>
              </w:rPr>
            </w:pPr>
          </w:p>
          <w:p w14:paraId="3FDB8D6D" w14:textId="77777777" w:rsidR="001D3D4F" w:rsidRPr="001D3D4F" w:rsidRDefault="001D3D4F" w:rsidP="001D3D4F">
            <w:pPr>
              <w:jc w:val="both"/>
              <w:rPr>
                <w:rFonts w:ascii="Arial" w:hAnsi="Arial" w:cs="Arial"/>
                <w:sz w:val="20"/>
                <w:szCs w:val="20"/>
              </w:rPr>
            </w:pPr>
            <w:r w:rsidRPr="001D3D4F">
              <w:rPr>
                <w:rFonts w:ascii="Arial" w:hAnsi="Arial" w:cs="Arial"/>
                <w:sz w:val="20"/>
                <w:szCs w:val="20"/>
              </w:rPr>
              <w:t xml:space="preserve">Our work identified that:   </w:t>
            </w:r>
          </w:p>
          <w:p w14:paraId="64CD6643" w14:textId="77777777" w:rsidR="001D3D4F" w:rsidRPr="001D3D4F" w:rsidRDefault="001D3D4F" w:rsidP="001D3D4F">
            <w:pPr>
              <w:jc w:val="both"/>
              <w:rPr>
                <w:rFonts w:ascii="Arial" w:hAnsi="Arial" w:cs="Arial"/>
                <w:sz w:val="20"/>
                <w:szCs w:val="20"/>
              </w:rPr>
            </w:pPr>
          </w:p>
          <w:p w14:paraId="36D9061C" w14:textId="77777777" w:rsidR="001D3D4F" w:rsidRPr="001D3D4F" w:rsidRDefault="001D3D4F" w:rsidP="001D3D4F">
            <w:pPr>
              <w:jc w:val="both"/>
              <w:rPr>
                <w:rFonts w:ascii="Arial" w:hAnsi="Arial" w:cs="Arial"/>
                <w:sz w:val="20"/>
                <w:szCs w:val="20"/>
              </w:rPr>
            </w:pPr>
            <w:r w:rsidRPr="001D3D4F">
              <w:rPr>
                <w:rFonts w:ascii="Arial" w:hAnsi="Arial" w:cs="Arial"/>
                <w:sz w:val="20"/>
                <w:szCs w:val="20"/>
              </w:rPr>
              <w:t>•</w:t>
            </w:r>
            <w:r w:rsidRPr="001D3D4F">
              <w:rPr>
                <w:rFonts w:ascii="Arial" w:hAnsi="Arial" w:cs="Arial"/>
                <w:sz w:val="20"/>
                <w:szCs w:val="20"/>
              </w:rPr>
              <w:tab/>
              <w:t>the momentum for delivering the Mobilisation Plan had waned;</w:t>
            </w:r>
          </w:p>
          <w:p w14:paraId="3ECC3DFC" w14:textId="77777777" w:rsidR="001D3D4F" w:rsidRPr="001D3D4F" w:rsidRDefault="001D3D4F" w:rsidP="001D3D4F">
            <w:pPr>
              <w:jc w:val="both"/>
              <w:rPr>
                <w:rFonts w:ascii="Arial" w:hAnsi="Arial" w:cs="Arial"/>
                <w:sz w:val="20"/>
                <w:szCs w:val="20"/>
              </w:rPr>
            </w:pPr>
            <w:r w:rsidRPr="001D3D4F">
              <w:rPr>
                <w:rFonts w:ascii="Arial" w:hAnsi="Arial" w:cs="Arial"/>
                <w:sz w:val="20"/>
                <w:szCs w:val="20"/>
              </w:rPr>
              <w:t>•</w:t>
            </w:r>
            <w:r w:rsidRPr="001D3D4F">
              <w:rPr>
                <w:rFonts w:ascii="Arial" w:hAnsi="Arial" w:cs="Arial"/>
                <w:sz w:val="20"/>
                <w:szCs w:val="20"/>
              </w:rPr>
              <w:tab/>
              <w:t>a range of Health and Safety risks were not adequately mitigated;</w:t>
            </w:r>
          </w:p>
          <w:p w14:paraId="3C72AFE8" w14:textId="77777777" w:rsidR="001D3D4F" w:rsidRPr="001D3D4F" w:rsidRDefault="001D3D4F" w:rsidP="001D3D4F">
            <w:pPr>
              <w:jc w:val="both"/>
              <w:rPr>
                <w:rFonts w:ascii="Arial" w:hAnsi="Arial" w:cs="Arial"/>
                <w:sz w:val="20"/>
                <w:szCs w:val="20"/>
              </w:rPr>
            </w:pPr>
            <w:r w:rsidRPr="001D3D4F">
              <w:rPr>
                <w:rFonts w:ascii="Arial" w:hAnsi="Arial" w:cs="Arial"/>
                <w:sz w:val="20"/>
                <w:szCs w:val="20"/>
              </w:rPr>
              <w:t>•</w:t>
            </w:r>
            <w:r w:rsidRPr="001D3D4F">
              <w:rPr>
                <w:rFonts w:ascii="Arial" w:hAnsi="Arial" w:cs="Arial"/>
                <w:sz w:val="20"/>
                <w:szCs w:val="20"/>
              </w:rPr>
              <w:tab/>
              <w:t>roles and responsibilities were not clearly defined;</w:t>
            </w:r>
          </w:p>
          <w:p w14:paraId="16D33C70" w14:textId="77777777" w:rsidR="001D3D4F" w:rsidRPr="001D3D4F" w:rsidRDefault="001D3D4F" w:rsidP="001D3D4F">
            <w:pPr>
              <w:jc w:val="both"/>
              <w:rPr>
                <w:rFonts w:ascii="Arial" w:hAnsi="Arial" w:cs="Arial"/>
                <w:sz w:val="20"/>
                <w:szCs w:val="20"/>
              </w:rPr>
            </w:pPr>
            <w:r w:rsidRPr="001D3D4F">
              <w:rPr>
                <w:rFonts w:ascii="Arial" w:hAnsi="Arial" w:cs="Arial"/>
                <w:sz w:val="20"/>
                <w:szCs w:val="20"/>
              </w:rPr>
              <w:t>•</w:t>
            </w:r>
            <w:r w:rsidRPr="001D3D4F">
              <w:rPr>
                <w:rFonts w:ascii="Arial" w:hAnsi="Arial" w:cs="Arial"/>
                <w:sz w:val="20"/>
                <w:szCs w:val="20"/>
              </w:rPr>
              <w:tab/>
              <w:t>CCTV to safeguard assets and help to protect the public and staff needed to be prioritized.</w:t>
            </w:r>
          </w:p>
          <w:p w14:paraId="40C25068" w14:textId="77777777" w:rsidR="001D3D4F" w:rsidRPr="001D3D4F" w:rsidRDefault="001D3D4F" w:rsidP="001D3D4F">
            <w:pPr>
              <w:jc w:val="both"/>
              <w:rPr>
                <w:rFonts w:ascii="Arial" w:hAnsi="Arial" w:cs="Arial"/>
                <w:sz w:val="20"/>
                <w:szCs w:val="20"/>
              </w:rPr>
            </w:pPr>
          </w:p>
          <w:p w14:paraId="0197B5EC" w14:textId="4E2F84E2" w:rsidR="002B0361" w:rsidRPr="001D3D4F" w:rsidRDefault="001D3D4F" w:rsidP="00FD3EC9">
            <w:pPr>
              <w:jc w:val="both"/>
              <w:rPr>
                <w:rFonts w:ascii="Arial" w:hAnsi="Arial" w:cs="Arial"/>
                <w:sz w:val="20"/>
                <w:szCs w:val="20"/>
              </w:rPr>
            </w:pPr>
            <w:r w:rsidRPr="001D3D4F">
              <w:rPr>
                <w:rFonts w:ascii="Arial" w:hAnsi="Arial" w:cs="Arial"/>
                <w:sz w:val="20"/>
                <w:szCs w:val="20"/>
              </w:rPr>
              <w:t>Acknowledgement was given during the review to the legacy issues that the Council ha</w:t>
            </w:r>
            <w:r>
              <w:rPr>
                <w:rFonts w:ascii="Arial" w:hAnsi="Arial" w:cs="Arial"/>
                <w:sz w:val="20"/>
                <w:szCs w:val="20"/>
              </w:rPr>
              <w:t>d</w:t>
            </w:r>
            <w:r w:rsidRPr="001D3D4F">
              <w:rPr>
                <w:rFonts w:ascii="Arial" w:hAnsi="Arial" w:cs="Arial"/>
                <w:sz w:val="20"/>
                <w:szCs w:val="20"/>
              </w:rPr>
              <w:t xml:space="preserve"> inherited from the previous waste contract and to the fact that the Service is realigning and taking steps to entrench itself into Council culture and corporate requirements. </w:t>
            </w:r>
          </w:p>
          <w:p w14:paraId="72046392" w14:textId="1551E3AA" w:rsidR="002B0361" w:rsidRPr="001D3D4F" w:rsidRDefault="002B0361" w:rsidP="007D78AF">
            <w:pPr>
              <w:rPr>
                <w:rFonts w:ascii="Arial" w:hAnsi="Arial" w:cs="Arial"/>
                <w:sz w:val="20"/>
                <w:szCs w:val="20"/>
              </w:rPr>
            </w:pPr>
          </w:p>
        </w:tc>
      </w:tr>
      <w:tr w:rsidR="002B0361" w:rsidRPr="00152CF2" w14:paraId="6B4D8F38" w14:textId="77777777" w:rsidTr="007D78AF">
        <w:tc>
          <w:tcPr>
            <w:tcW w:w="2726" w:type="dxa"/>
          </w:tcPr>
          <w:p w14:paraId="53B54EE0" w14:textId="7BD8210C" w:rsidR="002B0361" w:rsidRDefault="0016596B" w:rsidP="00FF631A">
            <w:pPr>
              <w:rPr>
                <w:rFonts w:ascii="Arial" w:hAnsi="Arial" w:cs="Arial"/>
                <w:sz w:val="20"/>
                <w:szCs w:val="20"/>
              </w:rPr>
            </w:pPr>
            <w:r>
              <w:rPr>
                <w:rFonts w:ascii="Arial" w:hAnsi="Arial" w:cs="Arial"/>
                <w:sz w:val="20"/>
                <w:szCs w:val="20"/>
              </w:rPr>
              <w:t>W</w:t>
            </w:r>
            <w:r w:rsidR="006C521F">
              <w:rPr>
                <w:rFonts w:ascii="Arial" w:hAnsi="Arial" w:cs="Arial"/>
                <w:sz w:val="20"/>
                <w:szCs w:val="20"/>
              </w:rPr>
              <w:t>ater management</w:t>
            </w:r>
          </w:p>
        </w:tc>
        <w:tc>
          <w:tcPr>
            <w:tcW w:w="1380" w:type="dxa"/>
            <w:shd w:val="clear" w:color="auto" w:fill="FFFFFF" w:themeFill="background1"/>
          </w:tcPr>
          <w:p w14:paraId="6D9FCCC0" w14:textId="5C437B85" w:rsidR="002B0361" w:rsidRDefault="00EA6E45" w:rsidP="00464B7A">
            <w:pPr>
              <w:rPr>
                <w:rFonts w:ascii="Arial" w:hAnsi="Arial" w:cs="Arial"/>
                <w:sz w:val="20"/>
                <w:szCs w:val="20"/>
              </w:rPr>
            </w:pPr>
            <w:r>
              <w:rPr>
                <w:rFonts w:ascii="Arial" w:hAnsi="Arial" w:cs="Arial"/>
                <w:sz w:val="20"/>
                <w:szCs w:val="20"/>
              </w:rPr>
              <w:t>Limited</w:t>
            </w:r>
          </w:p>
        </w:tc>
        <w:tc>
          <w:tcPr>
            <w:tcW w:w="10490" w:type="dxa"/>
          </w:tcPr>
          <w:p w14:paraId="35187CFD" w14:textId="4B6269BF" w:rsidR="00845AF4" w:rsidRPr="00980760" w:rsidRDefault="00845AF4" w:rsidP="00845AF4">
            <w:pPr>
              <w:jc w:val="both"/>
              <w:rPr>
                <w:rFonts w:cs="Arial"/>
                <w:iCs/>
              </w:rPr>
            </w:pPr>
            <w:r w:rsidRPr="00845AF4">
              <w:rPr>
                <w:rFonts w:ascii="Arial" w:hAnsi="Arial" w:cs="Arial"/>
                <w:sz w:val="20"/>
                <w:szCs w:val="20"/>
              </w:rPr>
              <w:t>Our work established that t</w:t>
            </w:r>
            <w:r w:rsidRPr="00845AF4">
              <w:rPr>
                <w:rFonts w:ascii="Arial" w:hAnsi="Arial" w:cs="Arial"/>
                <w:iCs/>
                <w:sz w:val="20"/>
                <w:szCs w:val="20"/>
              </w:rPr>
              <w:t>here is evidence of awareness of the risks posed by the activities that are undertaken around areas of water.  Some risk management measures are in place to reduce the risk to the public and employees/contractors working on-site, for instance Neighbourhood Officer site inspections and lifeline checks are carried out.  Neighbourhood Officers are experienced and there is good evidence of team working to identify and address site issues/hazards. In addition, work is in currently in progress to identify and document all areas of water, reviewing sufficiency of current on-site safety signage/equipment (renewing and improving as required).</w:t>
            </w:r>
            <w:r w:rsidRPr="00980760">
              <w:rPr>
                <w:rFonts w:cs="Arial"/>
                <w:iCs/>
              </w:rPr>
              <w:t xml:space="preserve">    </w:t>
            </w:r>
          </w:p>
          <w:p w14:paraId="077FD0CD" w14:textId="77777777" w:rsidR="00845AF4" w:rsidRDefault="00845AF4" w:rsidP="00845AF4">
            <w:pPr>
              <w:jc w:val="both"/>
              <w:rPr>
                <w:rFonts w:cs="Arial"/>
                <w:iCs/>
              </w:rPr>
            </w:pPr>
          </w:p>
          <w:p w14:paraId="4D7A089C" w14:textId="77777777" w:rsidR="00845AF4" w:rsidRPr="00845AF4" w:rsidRDefault="00845AF4" w:rsidP="00845AF4">
            <w:pPr>
              <w:jc w:val="both"/>
              <w:rPr>
                <w:rFonts w:ascii="Arial" w:hAnsi="Arial" w:cs="Arial"/>
                <w:iCs/>
                <w:sz w:val="20"/>
                <w:szCs w:val="20"/>
              </w:rPr>
            </w:pPr>
            <w:r w:rsidRPr="00845AF4">
              <w:rPr>
                <w:rFonts w:ascii="Arial" w:hAnsi="Arial" w:cs="Arial"/>
                <w:iCs/>
                <w:sz w:val="20"/>
                <w:szCs w:val="20"/>
              </w:rPr>
              <w:t xml:space="preserve">However, the following significant management issues related to the management of water sites were identified:  </w:t>
            </w:r>
          </w:p>
          <w:p w14:paraId="5DA93517" w14:textId="77777777" w:rsidR="00845AF4" w:rsidRPr="00845AF4" w:rsidRDefault="00845AF4" w:rsidP="00845AF4">
            <w:pPr>
              <w:jc w:val="both"/>
              <w:rPr>
                <w:rFonts w:ascii="Arial" w:hAnsi="Arial" w:cs="Arial"/>
                <w:iCs/>
                <w:sz w:val="20"/>
                <w:szCs w:val="20"/>
              </w:rPr>
            </w:pPr>
          </w:p>
          <w:p w14:paraId="610EF19D" w14:textId="0DECF3E5" w:rsidR="00845AF4" w:rsidRPr="00845AF4" w:rsidRDefault="00845AF4" w:rsidP="0010112E">
            <w:pPr>
              <w:pStyle w:val="ListParagraph"/>
              <w:numPr>
                <w:ilvl w:val="0"/>
                <w:numId w:val="21"/>
              </w:numPr>
              <w:contextualSpacing w:val="0"/>
              <w:jc w:val="both"/>
              <w:rPr>
                <w:rFonts w:ascii="Arial" w:hAnsi="Arial" w:cs="Arial"/>
                <w:iCs/>
                <w:sz w:val="20"/>
                <w:szCs w:val="20"/>
              </w:rPr>
            </w:pPr>
            <w:r w:rsidRPr="00845AF4">
              <w:rPr>
                <w:rFonts w:ascii="Arial" w:hAnsi="Arial" w:cs="Arial"/>
                <w:iCs/>
                <w:sz w:val="20"/>
                <w:szCs w:val="20"/>
              </w:rPr>
              <w:t>The</w:t>
            </w:r>
            <w:r w:rsidRPr="00845AF4">
              <w:rPr>
                <w:rFonts w:ascii="Arial" w:hAnsi="Arial" w:cs="Arial"/>
                <w:iCs/>
                <w:sz w:val="20"/>
                <w:szCs w:val="20"/>
              </w:rPr>
              <w:t>re is a lack of w</w:t>
            </w:r>
            <w:r w:rsidRPr="00845AF4">
              <w:rPr>
                <w:rFonts w:ascii="Arial" w:hAnsi="Arial" w:cs="Arial"/>
                <w:iCs/>
                <w:sz w:val="20"/>
                <w:szCs w:val="20"/>
              </w:rPr>
              <w:t>ater management/safety policy</w:t>
            </w:r>
            <w:r w:rsidRPr="00845AF4">
              <w:rPr>
                <w:rFonts w:ascii="Arial" w:hAnsi="Arial" w:cs="Arial"/>
                <w:iCs/>
                <w:sz w:val="20"/>
                <w:szCs w:val="20"/>
              </w:rPr>
              <w:t>;</w:t>
            </w:r>
            <w:r w:rsidRPr="00845AF4">
              <w:rPr>
                <w:rFonts w:ascii="Arial" w:hAnsi="Arial" w:cs="Arial"/>
                <w:iCs/>
                <w:sz w:val="20"/>
                <w:szCs w:val="20"/>
              </w:rPr>
              <w:t xml:space="preserve"> </w:t>
            </w:r>
          </w:p>
          <w:p w14:paraId="69FCD428" w14:textId="267DC9A3" w:rsidR="00845AF4" w:rsidRPr="00845AF4" w:rsidRDefault="00845AF4" w:rsidP="00845AF4">
            <w:pPr>
              <w:pStyle w:val="ListParagraph"/>
              <w:numPr>
                <w:ilvl w:val="0"/>
                <w:numId w:val="21"/>
              </w:numPr>
              <w:contextualSpacing w:val="0"/>
              <w:jc w:val="both"/>
              <w:rPr>
                <w:rFonts w:ascii="Arial" w:hAnsi="Arial" w:cs="Arial"/>
                <w:iCs/>
                <w:sz w:val="20"/>
                <w:szCs w:val="20"/>
              </w:rPr>
            </w:pPr>
            <w:r w:rsidRPr="00845AF4">
              <w:rPr>
                <w:rFonts w:ascii="Arial" w:hAnsi="Arial" w:cs="Arial"/>
                <w:bCs/>
                <w:sz w:val="20"/>
                <w:szCs w:val="20"/>
                <w:lang w:val="en-US" w:eastAsia="en-GB"/>
              </w:rPr>
              <w:t>A comprehensive list of water sites is not in place</w:t>
            </w:r>
            <w:r w:rsidRPr="00845AF4">
              <w:rPr>
                <w:rFonts w:ascii="Arial" w:hAnsi="Arial" w:cs="Arial"/>
                <w:bCs/>
                <w:sz w:val="20"/>
                <w:szCs w:val="20"/>
                <w:lang w:val="en-US" w:eastAsia="en-GB"/>
              </w:rPr>
              <w:t>;</w:t>
            </w:r>
            <w:r w:rsidRPr="00845AF4">
              <w:rPr>
                <w:rFonts w:ascii="Arial" w:hAnsi="Arial" w:cs="Arial"/>
                <w:bCs/>
                <w:sz w:val="20"/>
                <w:szCs w:val="20"/>
                <w:lang w:val="en-US" w:eastAsia="en-GB"/>
              </w:rPr>
              <w:t xml:space="preserve"> </w:t>
            </w:r>
          </w:p>
          <w:p w14:paraId="4B8AFD58" w14:textId="328713A1" w:rsidR="00845AF4" w:rsidRPr="00845AF4" w:rsidRDefault="00845AF4" w:rsidP="004520D1">
            <w:pPr>
              <w:pStyle w:val="ListParagraph"/>
              <w:numPr>
                <w:ilvl w:val="0"/>
                <w:numId w:val="21"/>
              </w:numPr>
              <w:contextualSpacing w:val="0"/>
              <w:jc w:val="both"/>
              <w:rPr>
                <w:rFonts w:ascii="Arial" w:hAnsi="Arial" w:cs="Arial"/>
                <w:iCs/>
                <w:sz w:val="20"/>
                <w:szCs w:val="20"/>
              </w:rPr>
            </w:pPr>
            <w:r w:rsidRPr="00845AF4">
              <w:rPr>
                <w:rFonts w:ascii="Arial" w:hAnsi="Arial" w:cs="Arial"/>
                <w:sz w:val="20"/>
                <w:szCs w:val="20"/>
              </w:rPr>
              <w:t xml:space="preserve">Site risk assessments that inform the nature and frequency of inspection for each site </w:t>
            </w:r>
            <w:r w:rsidRPr="00845AF4">
              <w:rPr>
                <w:rFonts w:ascii="Arial" w:hAnsi="Arial" w:cs="Arial"/>
                <w:iCs/>
                <w:sz w:val="20"/>
                <w:szCs w:val="20"/>
              </w:rPr>
              <w:t xml:space="preserve">are not in place for all areas of water.  </w:t>
            </w:r>
          </w:p>
          <w:p w14:paraId="2E25F415" w14:textId="68309E4E" w:rsidR="00845AF4" w:rsidRPr="00845AF4" w:rsidRDefault="00845AF4" w:rsidP="00845AF4">
            <w:pPr>
              <w:pStyle w:val="ListParagraph"/>
              <w:numPr>
                <w:ilvl w:val="0"/>
                <w:numId w:val="21"/>
              </w:numPr>
              <w:contextualSpacing w:val="0"/>
              <w:jc w:val="both"/>
              <w:rPr>
                <w:rFonts w:ascii="Arial" w:hAnsi="Arial" w:cs="Arial"/>
                <w:iCs/>
                <w:sz w:val="20"/>
                <w:szCs w:val="20"/>
              </w:rPr>
            </w:pPr>
            <w:r w:rsidRPr="00845AF4">
              <w:rPr>
                <w:rFonts w:ascii="Arial" w:hAnsi="Arial" w:cs="Arial"/>
                <w:iCs/>
                <w:sz w:val="20"/>
                <w:szCs w:val="20"/>
              </w:rPr>
              <w:t>There is a lack of guidance/operating procedures for the Neighbourhood Officers undertaking site inspections</w:t>
            </w:r>
            <w:r w:rsidRPr="00845AF4">
              <w:rPr>
                <w:rFonts w:ascii="Arial" w:hAnsi="Arial" w:cs="Arial"/>
                <w:iCs/>
                <w:sz w:val="20"/>
                <w:szCs w:val="20"/>
              </w:rPr>
              <w:t>.</w:t>
            </w:r>
          </w:p>
          <w:p w14:paraId="1C010C8C" w14:textId="77777777" w:rsidR="00845AF4" w:rsidRPr="00342618" w:rsidRDefault="00845AF4" w:rsidP="00845AF4">
            <w:pPr>
              <w:pStyle w:val="ListParagraph"/>
              <w:numPr>
                <w:ilvl w:val="0"/>
                <w:numId w:val="21"/>
              </w:numPr>
              <w:contextualSpacing w:val="0"/>
              <w:jc w:val="both"/>
              <w:rPr>
                <w:rFonts w:cs="Arial"/>
                <w:iCs/>
              </w:rPr>
            </w:pPr>
            <w:r w:rsidRPr="00845AF4">
              <w:rPr>
                <w:rFonts w:ascii="Arial" w:hAnsi="Arial" w:cs="Arial"/>
                <w:iCs/>
                <w:sz w:val="20"/>
                <w:szCs w:val="20"/>
              </w:rPr>
              <w:t>Supervisory monitoring is not carried out to confirm that the inspection regime is working as intended</w:t>
            </w:r>
            <w:r>
              <w:rPr>
                <w:rFonts w:cs="Arial"/>
                <w:iCs/>
              </w:rPr>
              <w:t xml:space="preserve">. </w:t>
            </w:r>
          </w:p>
          <w:p w14:paraId="6F4B0517" w14:textId="77777777" w:rsidR="00845AF4" w:rsidRDefault="00845AF4" w:rsidP="00845AF4">
            <w:pPr>
              <w:jc w:val="both"/>
              <w:rPr>
                <w:rFonts w:cs="Arial"/>
                <w:iCs/>
              </w:rPr>
            </w:pPr>
          </w:p>
          <w:p w14:paraId="11141363" w14:textId="23E697E7" w:rsidR="002B0361" w:rsidRDefault="002B0361" w:rsidP="007D78AF">
            <w:pPr>
              <w:rPr>
                <w:rFonts w:ascii="Arial" w:hAnsi="Arial" w:cs="Arial"/>
                <w:sz w:val="20"/>
                <w:szCs w:val="20"/>
              </w:rPr>
            </w:pPr>
          </w:p>
          <w:p w14:paraId="605E32B0" w14:textId="77777777" w:rsidR="00EA6E45" w:rsidRDefault="00EA6E45" w:rsidP="007D78AF">
            <w:pPr>
              <w:rPr>
                <w:rFonts w:ascii="Arial" w:hAnsi="Arial" w:cs="Arial"/>
                <w:sz w:val="20"/>
                <w:szCs w:val="20"/>
              </w:rPr>
            </w:pPr>
          </w:p>
          <w:p w14:paraId="267ED8BD" w14:textId="7B8AA620" w:rsidR="002B0361" w:rsidRDefault="002B0361" w:rsidP="007D78AF">
            <w:pPr>
              <w:rPr>
                <w:rFonts w:ascii="Arial" w:hAnsi="Arial" w:cs="Arial"/>
                <w:sz w:val="20"/>
                <w:szCs w:val="20"/>
              </w:rPr>
            </w:pPr>
          </w:p>
        </w:tc>
      </w:tr>
      <w:tr w:rsidR="002B0361" w:rsidRPr="00152CF2" w14:paraId="07F4FA88" w14:textId="77777777" w:rsidTr="002B0361">
        <w:tc>
          <w:tcPr>
            <w:tcW w:w="14596" w:type="dxa"/>
            <w:gridSpan w:val="3"/>
            <w:shd w:val="clear" w:color="auto" w:fill="AEAAAA" w:themeFill="background2" w:themeFillShade="BF"/>
          </w:tcPr>
          <w:p w14:paraId="38400448" w14:textId="77777777" w:rsidR="002B0361" w:rsidRDefault="002B0361" w:rsidP="007D78AF">
            <w:pPr>
              <w:rPr>
                <w:rFonts w:ascii="Arial" w:hAnsi="Arial" w:cs="Arial"/>
                <w:b/>
                <w:bCs/>
                <w:sz w:val="20"/>
                <w:szCs w:val="20"/>
              </w:rPr>
            </w:pPr>
            <w:r w:rsidRPr="002B0361">
              <w:rPr>
                <w:rFonts w:ascii="Arial" w:hAnsi="Arial" w:cs="Arial"/>
                <w:b/>
                <w:bCs/>
                <w:sz w:val="20"/>
                <w:szCs w:val="20"/>
              </w:rPr>
              <w:lastRenderedPageBreak/>
              <w:t>PROPERTY AND DEVELOPMENT</w:t>
            </w:r>
          </w:p>
          <w:p w14:paraId="64A0CD68" w14:textId="2F8C665F" w:rsidR="002B0361" w:rsidRPr="002B0361" w:rsidRDefault="002B0361" w:rsidP="007D78AF">
            <w:pPr>
              <w:rPr>
                <w:rFonts w:ascii="Arial" w:hAnsi="Arial" w:cs="Arial"/>
                <w:b/>
                <w:bCs/>
                <w:sz w:val="20"/>
                <w:szCs w:val="20"/>
              </w:rPr>
            </w:pPr>
          </w:p>
        </w:tc>
      </w:tr>
      <w:tr w:rsidR="002B0361" w:rsidRPr="00152CF2" w14:paraId="2D63C081" w14:textId="77777777" w:rsidTr="007D78AF">
        <w:tc>
          <w:tcPr>
            <w:tcW w:w="2726" w:type="dxa"/>
          </w:tcPr>
          <w:p w14:paraId="32698724" w14:textId="77777777" w:rsidR="002B0361" w:rsidRDefault="002B0361" w:rsidP="00FF631A">
            <w:pPr>
              <w:rPr>
                <w:rFonts w:ascii="Arial" w:hAnsi="Arial" w:cs="Arial"/>
                <w:sz w:val="20"/>
                <w:szCs w:val="20"/>
              </w:rPr>
            </w:pPr>
            <w:r>
              <w:rPr>
                <w:rFonts w:ascii="Arial" w:hAnsi="Arial" w:cs="Arial"/>
                <w:sz w:val="20"/>
                <w:szCs w:val="20"/>
              </w:rPr>
              <w:t>Community Infrastructure Levy</w:t>
            </w:r>
          </w:p>
          <w:p w14:paraId="246742B3" w14:textId="43E48FB2" w:rsidR="002B0361" w:rsidRDefault="002B0361" w:rsidP="00FF631A">
            <w:pPr>
              <w:rPr>
                <w:rFonts w:ascii="Arial" w:hAnsi="Arial" w:cs="Arial"/>
                <w:sz w:val="20"/>
                <w:szCs w:val="20"/>
              </w:rPr>
            </w:pPr>
          </w:p>
        </w:tc>
        <w:tc>
          <w:tcPr>
            <w:tcW w:w="1380" w:type="dxa"/>
            <w:shd w:val="clear" w:color="auto" w:fill="FFFFFF" w:themeFill="background1"/>
          </w:tcPr>
          <w:p w14:paraId="2876A1D9" w14:textId="2ACD7441" w:rsidR="002B0361" w:rsidRDefault="00072BAB" w:rsidP="00464B7A">
            <w:pPr>
              <w:rPr>
                <w:rFonts w:ascii="Arial" w:hAnsi="Arial" w:cs="Arial"/>
                <w:sz w:val="20"/>
                <w:szCs w:val="20"/>
              </w:rPr>
            </w:pPr>
            <w:r>
              <w:rPr>
                <w:rFonts w:ascii="Arial" w:hAnsi="Arial" w:cs="Arial"/>
                <w:sz w:val="20"/>
                <w:szCs w:val="20"/>
              </w:rPr>
              <w:t>Not applicable</w:t>
            </w:r>
          </w:p>
        </w:tc>
        <w:tc>
          <w:tcPr>
            <w:tcW w:w="10490" w:type="dxa"/>
          </w:tcPr>
          <w:p w14:paraId="72735A03" w14:textId="515A65C7" w:rsidR="002B0361" w:rsidRDefault="00072BAB" w:rsidP="007D78AF">
            <w:pPr>
              <w:rPr>
                <w:rFonts w:ascii="Arial" w:hAnsi="Arial" w:cs="Arial"/>
                <w:sz w:val="20"/>
                <w:szCs w:val="20"/>
              </w:rPr>
            </w:pPr>
            <w:r>
              <w:rPr>
                <w:rFonts w:ascii="Arial" w:hAnsi="Arial" w:cs="Arial"/>
                <w:sz w:val="20"/>
                <w:szCs w:val="20"/>
              </w:rPr>
              <w:t>This review has been deferred.  The Team are considering options to automate process by the introduction of a new dedicated system and therefore it has been agreed that this review will be undertaken following implementation.</w:t>
            </w:r>
          </w:p>
          <w:p w14:paraId="6A2BCCFC" w14:textId="6B81ED23" w:rsidR="00072BAB" w:rsidRDefault="00072BAB" w:rsidP="007D78AF">
            <w:pPr>
              <w:rPr>
                <w:rFonts w:ascii="Arial" w:hAnsi="Arial" w:cs="Arial"/>
                <w:sz w:val="20"/>
                <w:szCs w:val="20"/>
              </w:rPr>
            </w:pPr>
          </w:p>
        </w:tc>
      </w:tr>
      <w:tr w:rsidR="00761DC9" w:rsidRPr="00152CF2" w14:paraId="537EF330" w14:textId="77777777" w:rsidTr="00157403">
        <w:tc>
          <w:tcPr>
            <w:tcW w:w="14596" w:type="dxa"/>
            <w:gridSpan w:val="3"/>
            <w:shd w:val="clear" w:color="auto" w:fill="AEAAAA" w:themeFill="background2" w:themeFillShade="BF"/>
          </w:tcPr>
          <w:p w14:paraId="57331857" w14:textId="1C4FAC3A" w:rsidR="00761DC9" w:rsidRDefault="00761DC9" w:rsidP="007D78AF">
            <w:pPr>
              <w:rPr>
                <w:rFonts w:ascii="Arial" w:hAnsi="Arial" w:cs="Arial"/>
                <w:b/>
                <w:bCs/>
                <w:sz w:val="20"/>
                <w:szCs w:val="20"/>
              </w:rPr>
            </w:pPr>
            <w:r w:rsidRPr="00761DC9">
              <w:rPr>
                <w:rFonts w:ascii="Arial" w:hAnsi="Arial" w:cs="Arial"/>
                <w:b/>
                <w:bCs/>
                <w:sz w:val="20"/>
                <w:szCs w:val="20"/>
              </w:rPr>
              <w:t>C</w:t>
            </w:r>
            <w:r>
              <w:rPr>
                <w:rFonts w:ascii="Arial" w:hAnsi="Arial" w:cs="Arial"/>
                <w:b/>
                <w:bCs/>
                <w:sz w:val="20"/>
                <w:szCs w:val="20"/>
              </w:rPr>
              <w:t>OMMERCIAL</w:t>
            </w:r>
          </w:p>
          <w:p w14:paraId="3516653A" w14:textId="47A9C68E" w:rsidR="00761DC9" w:rsidRPr="00152CF2" w:rsidRDefault="00761DC9" w:rsidP="007D78AF">
            <w:pPr>
              <w:rPr>
                <w:rFonts w:ascii="Arial" w:hAnsi="Arial" w:cs="Arial"/>
                <w:sz w:val="20"/>
                <w:szCs w:val="20"/>
              </w:rPr>
            </w:pPr>
          </w:p>
        </w:tc>
      </w:tr>
      <w:tr w:rsidR="007D78AF" w:rsidRPr="00152CF2" w14:paraId="4A484050" w14:textId="77777777" w:rsidTr="007D78AF">
        <w:tc>
          <w:tcPr>
            <w:tcW w:w="2726" w:type="dxa"/>
          </w:tcPr>
          <w:p w14:paraId="0C608429" w14:textId="6E89314E" w:rsidR="007D78AF" w:rsidRPr="00152CF2" w:rsidRDefault="00761DC9" w:rsidP="00FF631A">
            <w:pPr>
              <w:rPr>
                <w:rFonts w:ascii="Arial" w:hAnsi="Arial" w:cs="Arial"/>
                <w:sz w:val="20"/>
                <w:szCs w:val="20"/>
              </w:rPr>
            </w:pPr>
            <w:r>
              <w:rPr>
                <w:rFonts w:ascii="Arial" w:hAnsi="Arial" w:cs="Arial"/>
                <w:sz w:val="20"/>
                <w:szCs w:val="20"/>
              </w:rPr>
              <w:t>Utilities Management</w:t>
            </w:r>
          </w:p>
        </w:tc>
        <w:tc>
          <w:tcPr>
            <w:tcW w:w="1380" w:type="dxa"/>
          </w:tcPr>
          <w:p w14:paraId="2E226B4A" w14:textId="77777777" w:rsidR="007D78AF" w:rsidRDefault="00761DC9" w:rsidP="00FF631A">
            <w:pPr>
              <w:rPr>
                <w:rFonts w:ascii="Arial" w:hAnsi="Arial" w:cs="Arial"/>
                <w:sz w:val="20"/>
                <w:szCs w:val="20"/>
              </w:rPr>
            </w:pPr>
            <w:r>
              <w:rPr>
                <w:rFonts w:ascii="Arial" w:hAnsi="Arial" w:cs="Arial"/>
                <w:sz w:val="20"/>
                <w:szCs w:val="20"/>
              </w:rPr>
              <w:t>Limited</w:t>
            </w:r>
          </w:p>
          <w:p w14:paraId="6DBAC77F" w14:textId="58C8E5BD" w:rsidR="00761DC9" w:rsidRPr="00152CF2" w:rsidRDefault="00761DC9" w:rsidP="00FF631A">
            <w:pPr>
              <w:rPr>
                <w:rFonts w:ascii="Arial" w:hAnsi="Arial" w:cs="Arial"/>
                <w:sz w:val="20"/>
                <w:szCs w:val="20"/>
              </w:rPr>
            </w:pPr>
          </w:p>
        </w:tc>
        <w:tc>
          <w:tcPr>
            <w:tcW w:w="10490" w:type="dxa"/>
          </w:tcPr>
          <w:p w14:paraId="419B2E69" w14:textId="0E4D9AD3" w:rsidR="005E40C8" w:rsidRPr="005E40C8" w:rsidRDefault="005E40C8" w:rsidP="005E40C8">
            <w:pPr>
              <w:jc w:val="both"/>
              <w:rPr>
                <w:rFonts w:ascii="Arial" w:hAnsi="Arial" w:cs="Arial"/>
                <w:sz w:val="20"/>
                <w:szCs w:val="20"/>
              </w:rPr>
            </w:pPr>
            <w:r w:rsidRPr="005E40C8">
              <w:rPr>
                <w:rFonts w:ascii="Arial" w:hAnsi="Arial" w:cs="Arial"/>
                <w:sz w:val="20"/>
                <w:szCs w:val="20"/>
              </w:rPr>
              <w:t xml:space="preserve">This review identified that there is a lack of overarching management of utilities, including:  </w:t>
            </w:r>
          </w:p>
          <w:p w14:paraId="795054E6" w14:textId="77777777" w:rsidR="005E40C8" w:rsidRPr="005E40C8" w:rsidRDefault="005E40C8" w:rsidP="005E40C8">
            <w:pPr>
              <w:jc w:val="both"/>
              <w:rPr>
                <w:rFonts w:ascii="Arial" w:hAnsi="Arial" w:cs="Arial"/>
                <w:sz w:val="20"/>
                <w:szCs w:val="20"/>
              </w:rPr>
            </w:pPr>
          </w:p>
          <w:p w14:paraId="19D5E4D5" w14:textId="77777777" w:rsidR="005E40C8" w:rsidRPr="005E40C8" w:rsidRDefault="005E40C8" w:rsidP="005E40C8">
            <w:pPr>
              <w:pStyle w:val="ListParagraph"/>
              <w:numPr>
                <w:ilvl w:val="0"/>
                <w:numId w:val="15"/>
              </w:numPr>
              <w:contextualSpacing w:val="0"/>
              <w:jc w:val="both"/>
              <w:rPr>
                <w:rFonts w:ascii="Arial" w:hAnsi="Arial" w:cs="Arial"/>
                <w:sz w:val="20"/>
                <w:szCs w:val="20"/>
              </w:rPr>
            </w:pPr>
            <w:r w:rsidRPr="005E40C8">
              <w:rPr>
                <w:rFonts w:ascii="Arial" w:hAnsi="Arial" w:cs="Arial"/>
                <w:sz w:val="20"/>
                <w:szCs w:val="20"/>
              </w:rPr>
              <w:t xml:space="preserve">Failure to assign responsibility for the administration and management of utilities: </w:t>
            </w:r>
          </w:p>
          <w:p w14:paraId="3DB87ACC" w14:textId="77777777" w:rsidR="005E40C8" w:rsidRPr="005E40C8" w:rsidRDefault="005E40C8" w:rsidP="005E40C8">
            <w:pPr>
              <w:pStyle w:val="ListParagraph"/>
              <w:numPr>
                <w:ilvl w:val="0"/>
                <w:numId w:val="15"/>
              </w:numPr>
              <w:contextualSpacing w:val="0"/>
              <w:jc w:val="both"/>
              <w:rPr>
                <w:rFonts w:ascii="Arial" w:hAnsi="Arial" w:cs="Arial"/>
                <w:sz w:val="20"/>
                <w:szCs w:val="20"/>
              </w:rPr>
            </w:pPr>
            <w:r w:rsidRPr="005E40C8">
              <w:rPr>
                <w:rFonts w:ascii="Arial" w:hAnsi="Arial" w:cs="Arial"/>
                <w:sz w:val="20"/>
                <w:szCs w:val="20"/>
              </w:rPr>
              <w:t xml:space="preserve">Inadequate arrangements in place to validate supplier invoices; </w:t>
            </w:r>
          </w:p>
          <w:p w14:paraId="694BBF85" w14:textId="77777777" w:rsidR="005E40C8" w:rsidRPr="005E40C8" w:rsidRDefault="005E40C8" w:rsidP="005E40C8">
            <w:pPr>
              <w:pStyle w:val="ListParagraph"/>
              <w:numPr>
                <w:ilvl w:val="0"/>
                <w:numId w:val="15"/>
              </w:numPr>
              <w:contextualSpacing w:val="0"/>
              <w:jc w:val="both"/>
              <w:rPr>
                <w:rFonts w:ascii="Arial" w:hAnsi="Arial" w:cs="Arial"/>
                <w:sz w:val="20"/>
                <w:szCs w:val="20"/>
              </w:rPr>
            </w:pPr>
            <w:r w:rsidRPr="005E40C8">
              <w:rPr>
                <w:rFonts w:ascii="Arial" w:hAnsi="Arial" w:cs="Arial"/>
                <w:sz w:val="20"/>
                <w:szCs w:val="20"/>
              </w:rPr>
              <w:t xml:space="preserve">Lack of policies and procedures to provide guidance and direction for officers. </w:t>
            </w:r>
          </w:p>
          <w:p w14:paraId="19FF423C" w14:textId="77777777" w:rsidR="005E40C8" w:rsidRPr="005E40C8" w:rsidRDefault="005E40C8" w:rsidP="005E40C8">
            <w:pPr>
              <w:pStyle w:val="ListParagraph"/>
              <w:numPr>
                <w:ilvl w:val="0"/>
                <w:numId w:val="15"/>
              </w:numPr>
              <w:contextualSpacing w:val="0"/>
              <w:jc w:val="both"/>
              <w:rPr>
                <w:rFonts w:ascii="Arial" w:hAnsi="Arial" w:cs="Arial"/>
                <w:sz w:val="20"/>
                <w:szCs w:val="20"/>
              </w:rPr>
            </w:pPr>
            <w:r w:rsidRPr="005E40C8">
              <w:rPr>
                <w:rFonts w:ascii="Arial" w:hAnsi="Arial" w:cs="Arial"/>
                <w:sz w:val="20"/>
                <w:szCs w:val="20"/>
              </w:rPr>
              <w:t xml:space="preserve">Non-compliance with regulations to ensure that the Council’s responsibilities as a landlord are met regarding gas and electrical safety checks. </w:t>
            </w:r>
          </w:p>
          <w:p w14:paraId="709CC75E" w14:textId="77777777" w:rsidR="005E40C8" w:rsidRPr="005E40C8" w:rsidRDefault="005E40C8" w:rsidP="005E40C8">
            <w:pPr>
              <w:pStyle w:val="ListParagraph"/>
              <w:numPr>
                <w:ilvl w:val="0"/>
                <w:numId w:val="15"/>
              </w:numPr>
              <w:contextualSpacing w:val="0"/>
              <w:jc w:val="both"/>
              <w:rPr>
                <w:rFonts w:ascii="Arial" w:hAnsi="Arial" w:cs="Arial"/>
                <w:sz w:val="20"/>
                <w:szCs w:val="20"/>
              </w:rPr>
            </w:pPr>
            <w:r w:rsidRPr="005E40C8">
              <w:rPr>
                <w:rFonts w:ascii="Arial" w:hAnsi="Arial" w:cs="Arial"/>
                <w:sz w:val="20"/>
                <w:szCs w:val="20"/>
              </w:rPr>
              <w:t>Property records are inadequate and does not allow for the effective management of utilities;</w:t>
            </w:r>
          </w:p>
          <w:p w14:paraId="49995D9B" w14:textId="77777777" w:rsidR="005E40C8" w:rsidRPr="005E40C8" w:rsidRDefault="005E40C8" w:rsidP="005E40C8">
            <w:pPr>
              <w:pStyle w:val="ListParagraph"/>
              <w:numPr>
                <w:ilvl w:val="0"/>
                <w:numId w:val="15"/>
              </w:numPr>
              <w:contextualSpacing w:val="0"/>
              <w:jc w:val="both"/>
              <w:rPr>
                <w:rFonts w:ascii="Arial" w:hAnsi="Arial" w:cs="Arial"/>
                <w:sz w:val="20"/>
                <w:szCs w:val="20"/>
              </w:rPr>
            </w:pPr>
            <w:r w:rsidRPr="005E40C8">
              <w:rPr>
                <w:rFonts w:ascii="Arial" w:hAnsi="Arial" w:cs="Arial"/>
                <w:sz w:val="20"/>
                <w:szCs w:val="20"/>
              </w:rPr>
              <w:t>Failure to undertake a procurement exercise of water supplies since the deregulation of commercial water supplies.</w:t>
            </w:r>
          </w:p>
          <w:p w14:paraId="1BA8D1E9" w14:textId="77777777" w:rsidR="005E40C8" w:rsidRPr="005E40C8" w:rsidRDefault="005E40C8" w:rsidP="005E40C8">
            <w:pPr>
              <w:pStyle w:val="ListParagraph"/>
              <w:numPr>
                <w:ilvl w:val="0"/>
                <w:numId w:val="15"/>
              </w:numPr>
              <w:contextualSpacing w:val="0"/>
              <w:jc w:val="both"/>
              <w:rPr>
                <w:rFonts w:ascii="Arial" w:hAnsi="Arial" w:cs="Arial"/>
                <w:sz w:val="20"/>
                <w:szCs w:val="20"/>
              </w:rPr>
            </w:pPr>
            <w:r w:rsidRPr="005E40C8">
              <w:rPr>
                <w:rFonts w:ascii="Arial" w:hAnsi="Arial" w:cs="Arial"/>
                <w:sz w:val="20"/>
                <w:szCs w:val="20"/>
              </w:rPr>
              <w:t xml:space="preserve">A lack of routine information sharing with Exchequer Services. </w:t>
            </w:r>
          </w:p>
          <w:p w14:paraId="58C7321C" w14:textId="77777777" w:rsidR="005E40C8" w:rsidRPr="005E40C8" w:rsidRDefault="005E40C8" w:rsidP="005E40C8">
            <w:pPr>
              <w:jc w:val="both"/>
              <w:rPr>
                <w:rFonts w:ascii="Arial" w:hAnsi="Arial" w:cs="Arial"/>
                <w:sz w:val="20"/>
                <w:szCs w:val="20"/>
              </w:rPr>
            </w:pPr>
            <w:r w:rsidRPr="005E40C8">
              <w:rPr>
                <w:rFonts w:ascii="Arial" w:hAnsi="Arial" w:cs="Arial"/>
                <w:sz w:val="20"/>
                <w:szCs w:val="20"/>
              </w:rPr>
              <w:t xml:space="preserve">In addition, the Council has recently invested in a solar power system, however following receipt of guidance recently issued by the Councils insurers it has been identified that insufficient maintenance arrangements are in place, and that officers have not been adequately trained to manage the system.   </w:t>
            </w:r>
          </w:p>
          <w:p w14:paraId="6CDA3EED" w14:textId="77777777" w:rsidR="005E40C8" w:rsidRPr="005E40C8" w:rsidRDefault="005E40C8" w:rsidP="005E40C8">
            <w:pPr>
              <w:jc w:val="both"/>
              <w:rPr>
                <w:rFonts w:ascii="Arial" w:hAnsi="Arial" w:cs="Arial"/>
                <w:sz w:val="20"/>
                <w:szCs w:val="20"/>
              </w:rPr>
            </w:pPr>
          </w:p>
          <w:p w14:paraId="31845297" w14:textId="6352C55E" w:rsidR="007D78AF" w:rsidRPr="0076390A" w:rsidRDefault="007D78AF" w:rsidP="00FF631A">
            <w:pPr>
              <w:rPr>
                <w:rFonts w:ascii="Arial" w:hAnsi="Arial" w:cs="Arial"/>
                <w:sz w:val="20"/>
                <w:szCs w:val="20"/>
              </w:rPr>
            </w:pPr>
          </w:p>
        </w:tc>
      </w:tr>
      <w:tr w:rsidR="00E4481F" w:rsidRPr="00152CF2" w14:paraId="071D3A8B" w14:textId="77777777" w:rsidTr="007D78AF">
        <w:tc>
          <w:tcPr>
            <w:tcW w:w="2726" w:type="dxa"/>
          </w:tcPr>
          <w:p w14:paraId="58021750" w14:textId="4E8D5880" w:rsidR="00E4481F" w:rsidRPr="00152CF2" w:rsidRDefault="00761DC9" w:rsidP="00FF631A">
            <w:pPr>
              <w:rPr>
                <w:rFonts w:ascii="Arial" w:hAnsi="Arial" w:cs="Arial"/>
                <w:sz w:val="20"/>
                <w:szCs w:val="20"/>
              </w:rPr>
            </w:pPr>
            <w:r>
              <w:rPr>
                <w:rFonts w:ascii="Arial" w:hAnsi="Arial" w:cs="Arial"/>
                <w:sz w:val="20"/>
                <w:szCs w:val="20"/>
              </w:rPr>
              <w:t>Project Support</w:t>
            </w:r>
          </w:p>
        </w:tc>
        <w:tc>
          <w:tcPr>
            <w:tcW w:w="1380" w:type="dxa"/>
          </w:tcPr>
          <w:p w14:paraId="634547A1" w14:textId="15724400" w:rsidR="00761DC9" w:rsidRPr="00152CF2" w:rsidRDefault="00761DC9" w:rsidP="002B0361">
            <w:pPr>
              <w:rPr>
                <w:rFonts w:ascii="Arial" w:hAnsi="Arial" w:cs="Arial"/>
                <w:sz w:val="20"/>
                <w:szCs w:val="20"/>
              </w:rPr>
            </w:pPr>
            <w:r>
              <w:rPr>
                <w:rFonts w:ascii="Arial" w:hAnsi="Arial" w:cs="Arial"/>
                <w:sz w:val="20"/>
                <w:szCs w:val="20"/>
              </w:rPr>
              <w:t>Not applicable</w:t>
            </w:r>
          </w:p>
        </w:tc>
        <w:tc>
          <w:tcPr>
            <w:tcW w:w="10490" w:type="dxa"/>
          </w:tcPr>
          <w:p w14:paraId="7E59F4F7" w14:textId="7C862A73" w:rsidR="006C521F" w:rsidRDefault="006C521F" w:rsidP="006C521F">
            <w:pPr>
              <w:tabs>
                <w:tab w:val="left" w:pos="567"/>
              </w:tabs>
              <w:ind w:right="-284"/>
              <w:rPr>
                <w:rFonts w:ascii="Arial" w:eastAsia="Times New Roman" w:hAnsi="Arial" w:cs="Arial"/>
                <w:sz w:val="20"/>
                <w:szCs w:val="20"/>
                <w:lang w:eastAsia="en-GB"/>
              </w:rPr>
            </w:pPr>
            <w:r w:rsidRPr="006C521F">
              <w:rPr>
                <w:rFonts w:ascii="Arial" w:eastAsia="Times New Roman" w:hAnsi="Arial" w:cs="Arial"/>
                <w:sz w:val="20"/>
                <w:szCs w:val="20"/>
                <w:lang w:eastAsia="en-GB"/>
              </w:rPr>
              <w:t>Project support was provided to further develop the project risk register and review risk management practices within the project.</w:t>
            </w:r>
          </w:p>
          <w:p w14:paraId="4217882C" w14:textId="77777777" w:rsidR="00696BD1" w:rsidRPr="006C521F" w:rsidRDefault="00696BD1" w:rsidP="006C521F">
            <w:pPr>
              <w:tabs>
                <w:tab w:val="left" w:pos="567"/>
              </w:tabs>
              <w:ind w:right="-284"/>
              <w:rPr>
                <w:rFonts w:ascii="Arial" w:eastAsia="Times New Roman" w:hAnsi="Arial" w:cs="Arial"/>
                <w:sz w:val="20"/>
                <w:szCs w:val="20"/>
                <w:lang w:eastAsia="en-GB"/>
              </w:rPr>
            </w:pPr>
          </w:p>
          <w:p w14:paraId="69711C9A" w14:textId="77777777" w:rsidR="006C521F" w:rsidRPr="006C521F" w:rsidRDefault="006C521F" w:rsidP="006C521F">
            <w:pPr>
              <w:tabs>
                <w:tab w:val="left" w:pos="567"/>
              </w:tabs>
              <w:ind w:right="-284"/>
              <w:rPr>
                <w:rFonts w:ascii="Arial" w:eastAsia="Times New Roman" w:hAnsi="Arial" w:cs="Arial"/>
                <w:sz w:val="20"/>
                <w:szCs w:val="20"/>
                <w:lang w:eastAsia="en-GB"/>
              </w:rPr>
            </w:pPr>
            <w:r w:rsidRPr="006C521F">
              <w:rPr>
                <w:rFonts w:ascii="Arial" w:eastAsia="Times New Roman" w:hAnsi="Arial" w:cs="Arial"/>
                <w:sz w:val="20"/>
                <w:szCs w:val="20"/>
                <w:lang w:eastAsia="en-GB"/>
              </w:rPr>
              <w:t>A meeting was held with the Strategic Development Officer and the Strategic Lead for Future Investments</w:t>
            </w:r>
          </w:p>
          <w:p w14:paraId="60B51784" w14:textId="7EA705BF" w:rsidR="006C521F" w:rsidRPr="006C521F" w:rsidRDefault="006C521F" w:rsidP="006C521F">
            <w:pPr>
              <w:tabs>
                <w:tab w:val="left" w:pos="567"/>
              </w:tabs>
              <w:ind w:right="-284"/>
              <w:rPr>
                <w:rFonts w:ascii="Arial" w:eastAsia="Times New Roman" w:hAnsi="Arial" w:cs="Arial"/>
                <w:sz w:val="20"/>
                <w:szCs w:val="20"/>
                <w:lang w:eastAsia="en-GB"/>
              </w:rPr>
            </w:pPr>
            <w:r w:rsidRPr="006C521F">
              <w:rPr>
                <w:rFonts w:ascii="Arial" w:eastAsia="Times New Roman" w:hAnsi="Arial" w:cs="Arial"/>
                <w:sz w:val="20"/>
                <w:szCs w:val="20"/>
                <w:lang w:eastAsia="en-GB"/>
              </w:rPr>
              <w:t>to identify areas for further consideration and improvement to the project risk register. A risk workshop was attended with project team members to ensure that risks across all areas of expertise were captured for evaluation and monitoring.</w:t>
            </w:r>
          </w:p>
          <w:p w14:paraId="73D9D715" w14:textId="178E66FD" w:rsidR="00E4481F" w:rsidRPr="006C521F" w:rsidRDefault="00E4481F" w:rsidP="00740559">
            <w:pPr>
              <w:pStyle w:val="Default"/>
              <w:rPr>
                <w:sz w:val="20"/>
                <w:szCs w:val="20"/>
              </w:rPr>
            </w:pPr>
          </w:p>
        </w:tc>
      </w:tr>
      <w:tr w:rsidR="004D5C54" w:rsidRPr="00152CF2" w14:paraId="45C2E8ED" w14:textId="77777777" w:rsidTr="007D78AF">
        <w:tc>
          <w:tcPr>
            <w:tcW w:w="2726" w:type="dxa"/>
          </w:tcPr>
          <w:p w14:paraId="79109B7F" w14:textId="77777777" w:rsidR="004D5C54" w:rsidRPr="004D5C54" w:rsidRDefault="004D5C54" w:rsidP="004D5C54">
            <w:pPr>
              <w:rPr>
                <w:rFonts w:ascii="Arial" w:hAnsi="Arial" w:cs="Arial"/>
                <w:bCs/>
                <w:color w:val="262626" w:themeColor="text1" w:themeTint="D9"/>
                <w:sz w:val="20"/>
                <w:szCs w:val="20"/>
                <w:lang w:val="en-US"/>
              </w:rPr>
            </w:pPr>
            <w:r w:rsidRPr="004D5C54">
              <w:rPr>
                <w:rFonts w:ascii="Arial" w:hAnsi="Arial" w:cs="Arial"/>
                <w:bCs/>
                <w:color w:val="262626" w:themeColor="text1" w:themeTint="D9"/>
                <w:sz w:val="20"/>
                <w:szCs w:val="20"/>
                <w:lang w:val="en-US"/>
              </w:rPr>
              <w:t>Commercial Services Directorate Procurement Review</w:t>
            </w:r>
          </w:p>
          <w:p w14:paraId="1D6CAC0C" w14:textId="77777777" w:rsidR="004D5C54" w:rsidRPr="004D5C54" w:rsidRDefault="004D5C54" w:rsidP="004D5C54">
            <w:pPr>
              <w:rPr>
                <w:rFonts w:ascii="Arial" w:hAnsi="Arial" w:cs="Arial"/>
                <w:bCs/>
                <w:sz w:val="20"/>
                <w:szCs w:val="20"/>
              </w:rPr>
            </w:pPr>
          </w:p>
        </w:tc>
        <w:tc>
          <w:tcPr>
            <w:tcW w:w="1380" w:type="dxa"/>
          </w:tcPr>
          <w:p w14:paraId="6D1104D3" w14:textId="63D0A7D8" w:rsidR="004D5C54" w:rsidRDefault="004D5C54" w:rsidP="00FF631A">
            <w:pPr>
              <w:rPr>
                <w:rFonts w:ascii="Arial" w:hAnsi="Arial" w:cs="Arial"/>
                <w:sz w:val="20"/>
                <w:szCs w:val="20"/>
              </w:rPr>
            </w:pPr>
            <w:r>
              <w:rPr>
                <w:rFonts w:ascii="Arial" w:hAnsi="Arial" w:cs="Arial"/>
                <w:sz w:val="20"/>
                <w:szCs w:val="20"/>
              </w:rPr>
              <w:t>Limited</w:t>
            </w:r>
          </w:p>
        </w:tc>
        <w:tc>
          <w:tcPr>
            <w:tcW w:w="10490" w:type="dxa"/>
          </w:tcPr>
          <w:p w14:paraId="6634EAC6" w14:textId="77777777" w:rsidR="00FD3EC9" w:rsidRPr="00FD3EC9" w:rsidRDefault="00FD3EC9" w:rsidP="00FD3EC9">
            <w:pPr>
              <w:rPr>
                <w:rFonts w:ascii="Arial" w:hAnsi="Arial" w:cs="Arial"/>
                <w:sz w:val="20"/>
                <w:szCs w:val="20"/>
              </w:rPr>
            </w:pPr>
            <w:r w:rsidRPr="00FD3EC9">
              <w:rPr>
                <w:rFonts w:ascii="Arial" w:hAnsi="Arial" w:cs="Arial"/>
                <w:sz w:val="20"/>
                <w:szCs w:val="20"/>
              </w:rPr>
              <w:t xml:space="preserve">Internal Audit issued a report highlighting that there had been clear breaches of the governance framework resulting in a significant reputational risk and failure to adequately protect the Councils confidential data.    Whilst many of the failings were due to activity within Chorley Council, South Ribble Council were also adversely affected albeit not to the same degree. </w:t>
            </w:r>
          </w:p>
          <w:p w14:paraId="171FA931" w14:textId="77777777" w:rsidR="00FD3EC9" w:rsidRPr="00FD3EC9" w:rsidRDefault="00FD3EC9" w:rsidP="00FD3EC9">
            <w:pPr>
              <w:rPr>
                <w:rFonts w:ascii="Arial" w:hAnsi="Arial" w:cs="Arial"/>
                <w:sz w:val="20"/>
                <w:szCs w:val="20"/>
              </w:rPr>
            </w:pPr>
          </w:p>
          <w:p w14:paraId="67956581" w14:textId="34AA688F" w:rsidR="00D270B9" w:rsidRPr="00FD3EC9" w:rsidRDefault="00FD3EC9" w:rsidP="00FD3EC9">
            <w:pPr>
              <w:rPr>
                <w:rFonts w:ascii="Arial" w:hAnsi="Arial" w:cs="Arial"/>
                <w:sz w:val="20"/>
                <w:szCs w:val="20"/>
              </w:rPr>
            </w:pPr>
            <w:r w:rsidRPr="00FD3EC9">
              <w:rPr>
                <w:rFonts w:ascii="Arial" w:hAnsi="Arial" w:cs="Arial"/>
                <w:sz w:val="20"/>
                <w:szCs w:val="20"/>
              </w:rPr>
              <w:t xml:space="preserve">Since this review was finalised, a multi-disciplinary Commercial Directorate Development Group has been established.  The focus of the group is on developing and embedding a strong governance framework and a positive, supportive culture focused on high quality service delivery.  </w:t>
            </w:r>
          </w:p>
          <w:p w14:paraId="40F302E5" w14:textId="7F2D415B" w:rsidR="004D5C54" w:rsidRPr="00FD3EC9" w:rsidRDefault="004D5C54" w:rsidP="00D270B9">
            <w:pPr>
              <w:rPr>
                <w:rFonts w:ascii="Arial" w:hAnsi="Arial" w:cs="Arial"/>
                <w:sz w:val="20"/>
                <w:szCs w:val="20"/>
              </w:rPr>
            </w:pPr>
          </w:p>
        </w:tc>
      </w:tr>
      <w:tr w:rsidR="00846DF1" w:rsidRPr="00152CF2" w14:paraId="66A63ACE" w14:textId="77777777" w:rsidTr="00846DF1">
        <w:tc>
          <w:tcPr>
            <w:tcW w:w="14596" w:type="dxa"/>
            <w:gridSpan w:val="3"/>
            <w:shd w:val="clear" w:color="auto" w:fill="AEAAAA" w:themeFill="background2" w:themeFillShade="BF"/>
          </w:tcPr>
          <w:p w14:paraId="514B5857" w14:textId="77777777" w:rsidR="00846DF1" w:rsidRDefault="00846DF1" w:rsidP="00152CF2">
            <w:pPr>
              <w:rPr>
                <w:rFonts w:ascii="Arial" w:hAnsi="Arial" w:cs="Arial"/>
                <w:b/>
                <w:bCs/>
                <w:sz w:val="20"/>
                <w:szCs w:val="20"/>
              </w:rPr>
            </w:pPr>
            <w:r w:rsidRPr="00846DF1">
              <w:rPr>
                <w:rFonts w:ascii="Arial" w:hAnsi="Arial" w:cs="Arial"/>
                <w:b/>
                <w:bCs/>
                <w:sz w:val="20"/>
                <w:szCs w:val="20"/>
              </w:rPr>
              <w:lastRenderedPageBreak/>
              <w:t>COMMUNITIES</w:t>
            </w:r>
          </w:p>
          <w:p w14:paraId="308A9F06" w14:textId="7A9C17D6" w:rsidR="00846DF1" w:rsidRPr="00846DF1" w:rsidRDefault="00846DF1" w:rsidP="00152CF2">
            <w:pPr>
              <w:rPr>
                <w:rFonts w:ascii="Arial" w:hAnsi="Arial" w:cs="Arial"/>
                <w:b/>
                <w:bCs/>
                <w:sz w:val="20"/>
                <w:szCs w:val="20"/>
              </w:rPr>
            </w:pPr>
          </w:p>
        </w:tc>
      </w:tr>
      <w:tr w:rsidR="007D78AF" w:rsidRPr="00152CF2" w14:paraId="7D090AAF" w14:textId="77777777" w:rsidTr="00065D07">
        <w:tc>
          <w:tcPr>
            <w:tcW w:w="2726" w:type="dxa"/>
          </w:tcPr>
          <w:p w14:paraId="01E5CE28" w14:textId="1ADC2B75" w:rsidR="007D78AF" w:rsidRPr="00152CF2" w:rsidRDefault="00846DF1" w:rsidP="00AE1775">
            <w:pPr>
              <w:rPr>
                <w:rFonts w:ascii="Arial" w:hAnsi="Arial" w:cs="Arial"/>
                <w:sz w:val="20"/>
                <w:szCs w:val="20"/>
              </w:rPr>
            </w:pPr>
            <w:r>
              <w:rPr>
                <w:rFonts w:ascii="Arial" w:hAnsi="Arial" w:cs="Arial"/>
                <w:sz w:val="20"/>
                <w:szCs w:val="20"/>
              </w:rPr>
              <w:t>Safeguarding</w:t>
            </w:r>
          </w:p>
        </w:tc>
        <w:tc>
          <w:tcPr>
            <w:tcW w:w="1380" w:type="dxa"/>
            <w:shd w:val="clear" w:color="auto" w:fill="FFFFFF" w:themeFill="background1"/>
          </w:tcPr>
          <w:p w14:paraId="68228EC0" w14:textId="4A262EFF" w:rsidR="007D78AF" w:rsidRPr="00152CF2" w:rsidRDefault="00846DF1" w:rsidP="00AE1775">
            <w:pPr>
              <w:rPr>
                <w:rFonts w:ascii="Arial" w:hAnsi="Arial" w:cs="Arial"/>
                <w:sz w:val="20"/>
                <w:szCs w:val="20"/>
              </w:rPr>
            </w:pPr>
            <w:r>
              <w:rPr>
                <w:rFonts w:ascii="Arial" w:hAnsi="Arial" w:cs="Arial"/>
                <w:sz w:val="20"/>
                <w:szCs w:val="20"/>
              </w:rPr>
              <w:t>Substantial</w:t>
            </w:r>
          </w:p>
        </w:tc>
        <w:tc>
          <w:tcPr>
            <w:tcW w:w="10490" w:type="dxa"/>
          </w:tcPr>
          <w:p w14:paraId="6085852F" w14:textId="6F3CF40C" w:rsidR="007D78AF" w:rsidRDefault="00846DF1" w:rsidP="00AE1775">
            <w:pPr>
              <w:rPr>
                <w:rFonts w:ascii="Arial" w:hAnsi="Arial" w:cs="Arial"/>
                <w:sz w:val="20"/>
                <w:szCs w:val="20"/>
              </w:rPr>
            </w:pPr>
            <w:r>
              <w:rPr>
                <w:rFonts w:ascii="Arial" w:hAnsi="Arial" w:cs="Arial"/>
                <w:sz w:val="20"/>
                <w:szCs w:val="20"/>
              </w:rPr>
              <w:t>Our work has established that the Council has a good level of arrangements and that established controls are effective.</w:t>
            </w:r>
          </w:p>
          <w:p w14:paraId="10CB3AC4" w14:textId="171D77B1" w:rsidR="00846DF1" w:rsidRPr="00152CF2" w:rsidRDefault="00846DF1" w:rsidP="00AE1775">
            <w:pPr>
              <w:rPr>
                <w:rFonts w:ascii="Arial" w:hAnsi="Arial" w:cs="Arial"/>
                <w:sz w:val="20"/>
                <w:szCs w:val="20"/>
              </w:rPr>
            </w:pPr>
          </w:p>
        </w:tc>
      </w:tr>
      <w:tr w:rsidR="007D78AF" w:rsidRPr="00152CF2" w14:paraId="7E9536DE" w14:textId="77777777" w:rsidTr="00152CF2">
        <w:tc>
          <w:tcPr>
            <w:tcW w:w="2726" w:type="dxa"/>
          </w:tcPr>
          <w:p w14:paraId="55BC00E3" w14:textId="68F807A6" w:rsidR="007D78AF" w:rsidRPr="00152CF2" w:rsidRDefault="00846DF1" w:rsidP="00AE1775">
            <w:pPr>
              <w:rPr>
                <w:rFonts w:ascii="Arial" w:hAnsi="Arial" w:cs="Arial"/>
                <w:sz w:val="20"/>
                <w:szCs w:val="20"/>
              </w:rPr>
            </w:pPr>
            <w:r>
              <w:rPr>
                <w:rFonts w:ascii="Arial" w:hAnsi="Arial" w:cs="Arial"/>
                <w:sz w:val="20"/>
                <w:szCs w:val="20"/>
              </w:rPr>
              <w:t>Community Hubs / Boost Fund</w:t>
            </w:r>
          </w:p>
        </w:tc>
        <w:tc>
          <w:tcPr>
            <w:tcW w:w="1380" w:type="dxa"/>
            <w:shd w:val="clear" w:color="auto" w:fill="auto"/>
          </w:tcPr>
          <w:p w14:paraId="287ADDC8" w14:textId="0101319B" w:rsidR="007D78AF" w:rsidRPr="00152CF2" w:rsidRDefault="002B0361" w:rsidP="00AE1775">
            <w:pPr>
              <w:rPr>
                <w:rFonts w:ascii="Arial" w:hAnsi="Arial" w:cs="Arial"/>
                <w:sz w:val="20"/>
                <w:szCs w:val="20"/>
              </w:rPr>
            </w:pPr>
            <w:r>
              <w:rPr>
                <w:rFonts w:ascii="Arial" w:hAnsi="Arial" w:cs="Arial"/>
                <w:sz w:val="20"/>
                <w:szCs w:val="20"/>
              </w:rPr>
              <w:t>Not applicable</w:t>
            </w:r>
          </w:p>
        </w:tc>
        <w:tc>
          <w:tcPr>
            <w:tcW w:w="10490" w:type="dxa"/>
          </w:tcPr>
          <w:p w14:paraId="37AAE0D3" w14:textId="77777777" w:rsidR="006B2DC7" w:rsidRDefault="00846DF1" w:rsidP="00846DF1">
            <w:pPr>
              <w:ind w:firstLine="39"/>
              <w:rPr>
                <w:rFonts w:ascii="Arial" w:hAnsi="Arial" w:cs="Arial"/>
                <w:sz w:val="20"/>
                <w:szCs w:val="20"/>
              </w:rPr>
            </w:pPr>
            <w:r>
              <w:rPr>
                <w:rFonts w:ascii="Arial" w:hAnsi="Arial" w:cs="Arial"/>
                <w:sz w:val="20"/>
                <w:szCs w:val="20"/>
              </w:rPr>
              <w:t>Internal Audit provided advice / guidance relating to setting up a new process for administering the successful Community Hub Boost Fund applications.</w:t>
            </w:r>
          </w:p>
          <w:p w14:paraId="0D4E51BB" w14:textId="77777777" w:rsidR="00846DF1" w:rsidRDefault="00846DF1" w:rsidP="00846DF1">
            <w:pPr>
              <w:ind w:firstLine="39"/>
              <w:rPr>
                <w:rFonts w:ascii="Arial" w:hAnsi="Arial" w:cs="Arial"/>
                <w:sz w:val="20"/>
                <w:szCs w:val="20"/>
              </w:rPr>
            </w:pPr>
          </w:p>
          <w:p w14:paraId="4701A29C" w14:textId="558D7350" w:rsidR="00846DF1" w:rsidRDefault="00696BD1" w:rsidP="00846DF1">
            <w:pPr>
              <w:ind w:firstLine="39"/>
              <w:rPr>
                <w:rFonts w:ascii="Arial" w:hAnsi="Arial" w:cs="Arial"/>
                <w:sz w:val="20"/>
                <w:szCs w:val="20"/>
              </w:rPr>
            </w:pPr>
            <w:r>
              <w:rPr>
                <w:rFonts w:ascii="Arial" w:hAnsi="Arial" w:cs="Arial"/>
                <w:sz w:val="20"/>
                <w:szCs w:val="20"/>
              </w:rPr>
              <w:t>Additionally,</w:t>
            </w:r>
            <w:r w:rsidR="00846DF1">
              <w:rPr>
                <w:rFonts w:ascii="Arial" w:hAnsi="Arial" w:cs="Arial"/>
                <w:sz w:val="20"/>
                <w:szCs w:val="20"/>
              </w:rPr>
              <w:t xml:space="preserve"> the Risk Team participated in the working group to assess the successful applications to consider risks and build in appropriate control the scheme funds.</w:t>
            </w:r>
          </w:p>
          <w:p w14:paraId="2E8DA698" w14:textId="77777777" w:rsidR="00070EE6" w:rsidRDefault="00070EE6" w:rsidP="00846DF1">
            <w:pPr>
              <w:ind w:firstLine="39"/>
              <w:rPr>
                <w:rFonts w:ascii="Arial" w:hAnsi="Arial" w:cs="Arial"/>
                <w:sz w:val="20"/>
                <w:szCs w:val="20"/>
              </w:rPr>
            </w:pPr>
          </w:p>
          <w:p w14:paraId="0C9B08EB" w14:textId="0DD50D8F" w:rsidR="00846DF1" w:rsidRPr="00152CF2" w:rsidRDefault="00846DF1" w:rsidP="002B0361">
            <w:pPr>
              <w:ind w:firstLine="39"/>
              <w:rPr>
                <w:rFonts w:ascii="Arial" w:hAnsi="Arial" w:cs="Arial"/>
                <w:sz w:val="20"/>
                <w:szCs w:val="20"/>
              </w:rPr>
            </w:pPr>
          </w:p>
        </w:tc>
      </w:tr>
      <w:tr w:rsidR="002B0361" w:rsidRPr="00152CF2" w14:paraId="4FC965C2" w14:textId="77777777" w:rsidTr="00152CF2">
        <w:tc>
          <w:tcPr>
            <w:tcW w:w="2726" w:type="dxa"/>
          </w:tcPr>
          <w:p w14:paraId="603E054C" w14:textId="27B1BCE7" w:rsidR="002B0361" w:rsidRDefault="002B0361" w:rsidP="00AE1775">
            <w:pPr>
              <w:rPr>
                <w:rFonts w:ascii="Arial" w:hAnsi="Arial" w:cs="Arial"/>
                <w:sz w:val="20"/>
                <w:szCs w:val="20"/>
              </w:rPr>
            </w:pPr>
            <w:r>
              <w:rPr>
                <w:rFonts w:ascii="Arial" w:hAnsi="Arial" w:cs="Arial"/>
                <w:sz w:val="20"/>
                <w:szCs w:val="20"/>
              </w:rPr>
              <w:t xml:space="preserve">Community Hubs / Boost Fund </w:t>
            </w:r>
          </w:p>
          <w:p w14:paraId="594D9DAB" w14:textId="11A695B2" w:rsidR="00696BD1" w:rsidRDefault="00696BD1" w:rsidP="00AE1775">
            <w:pPr>
              <w:rPr>
                <w:rFonts w:ascii="Arial" w:hAnsi="Arial" w:cs="Arial"/>
                <w:sz w:val="20"/>
                <w:szCs w:val="20"/>
              </w:rPr>
            </w:pPr>
          </w:p>
          <w:p w14:paraId="3EC988B5" w14:textId="77777777" w:rsidR="00696BD1" w:rsidRDefault="00696BD1" w:rsidP="00AE1775">
            <w:pPr>
              <w:rPr>
                <w:rFonts w:ascii="Arial" w:hAnsi="Arial" w:cs="Arial"/>
                <w:sz w:val="20"/>
                <w:szCs w:val="20"/>
              </w:rPr>
            </w:pPr>
          </w:p>
          <w:p w14:paraId="4D9DBE67" w14:textId="4175D375" w:rsidR="002B0361" w:rsidRDefault="002B0361" w:rsidP="00AE1775">
            <w:pPr>
              <w:rPr>
                <w:rFonts w:ascii="Arial" w:hAnsi="Arial" w:cs="Arial"/>
                <w:sz w:val="20"/>
                <w:szCs w:val="20"/>
              </w:rPr>
            </w:pPr>
          </w:p>
        </w:tc>
        <w:tc>
          <w:tcPr>
            <w:tcW w:w="1380" w:type="dxa"/>
            <w:shd w:val="clear" w:color="auto" w:fill="auto"/>
          </w:tcPr>
          <w:p w14:paraId="379E51F5" w14:textId="4BCE8DD7" w:rsidR="002B0361" w:rsidRPr="00152CF2" w:rsidRDefault="0016596B" w:rsidP="00AE1775">
            <w:pPr>
              <w:rPr>
                <w:rFonts w:ascii="Arial" w:hAnsi="Arial" w:cs="Arial"/>
                <w:sz w:val="20"/>
                <w:szCs w:val="20"/>
              </w:rPr>
            </w:pPr>
            <w:r>
              <w:rPr>
                <w:rFonts w:ascii="Arial" w:hAnsi="Arial" w:cs="Arial"/>
                <w:sz w:val="20"/>
                <w:szCs w:val="20"/>
              </w:rPr>
              <w:t>Adequate</w:t>
            </w:r>
          </w:p>
        </w:tc>
        <w:tc>
          <w:tcPr>
            <w:tcW w:w="10490" w:type="dxa"/>
          </w:tcPr>
          <w:p w14:paraId="6A96EFFB" w14:textId="4E24616C" w:rsidR="0016596B" w:rsidRDefault="0016596B" w:rsidP="0016596B">
            <w:pPr>
              <w:jc w:val="both"/>
              <w:rPr>
                <w:rFonts w:ascii="Arial" w:hAnsi="Arial" w:cs="Arial"/>
                <w:sz w:val="20"/>
                <w:szCs w:val="20"/>
              </w:rPr>
            </w:pPr>
            <w:r w:rsidRPr="0016596B">
              <w:rPr>
                <w:rFonts w:ascii="Arial" w:hAnsi="Arial" w:cs="Arial"/>
                <w:sz w:val="20"/>
                <w:szCs w:val="20"/>
              </w:rPr>
              <w:t>Our review confirmed that the Boost Fund and Boost Fund Plus have been administered well by the Community Development Team with good communication maintained with the Community Hubs and grant applicants throughout the application process. Applications are completed to a high standard and supporting documentation has been sought (where required) and maintained in a central file for each applicant. Evidence of periodic reporting to Cabinet/Council is available for each round of the Boost Fund, with overall approval for the Boost Fund Plus awards sought in June 2022.</w:t>
            </w:r>
          </w:p>
          <w:p w14:paraId="64BA50C9" w14:textId="5ABA2614" w:rsidR="0016596B" w:rsidRDefault="0016596B" w:rsidP="0016596B">
            <w:pPr>
              <w:jc w:val="both"/>
              <w:rPr>
                <w:rFonts w:ascii="Arial" w:hAnsi="Arial" w:cs="Arial"/>
                <w:sz w:val="20"/>
                <w:szCs w:val="20"/>
              </w:rPr>
            </w:pPr>
          </w:p>
          <w:p w14:paraId="6D674D7D" w14:textId="2234625E" w:rsidR="0016596B" w:rsidRPr="0016596B" w:rsidRDefault="0016596B" w:rsidP="0016596B">
            <w:pPr>
              <w:jc w:val="both"/>
              <w:rPr>
                <w:rFonts w:ascii="Arial" w:hAnsi="Arial" w:cs="Arial"/>
                <w:sz w:val="20"/>
                <w:szCs w:val="20"/>
              </w:rPr>
            </w:pPr>
            <w:r>
              <w:rPr>
                <w:rFonts w:ascii="Arial" w:hAnsi="Arial" w:cs="Arial"/>
                <w:sz w:val="20"/>
                <w:szCs w:val="20"/>
              </w:rPr>
              <w:t xml:space="preserve">Management actions were agreed to further strengthen the arrangements if further grants are distributed by the Council in future. </w:t>
            </w:r>
          </w:p>
          <w:p w14:paraId="4FBAE3FE" w14:textId="5D679A4A" w:rsidR="002B0361" w:rsidRDefault="002B0361" w:rsidP="0016596B">
            <w:pPr>
              <w:rPr>
                <w:rFonts w:ascii="Arial" w:hAnsi="Arial" w:cs="Arial"/>
                <w:sz w:val="20"/>
                <w:szCs w:val="20"/>
              </w:rPr>
            </w:pPr>
          </w:p>
        </w:tc>
      </w:tr>
      <w:tr w:rsidR="00846DF1" w:rsidRPr="00152CF2" w14:paraId="6E6A18A2" w14:textId="77777777" w:rsidTr="00D2650D">
        <w:tc>
          <w:tcPr>
            <w:tcW w:w="14596" w:type="dxa"/>
            <w:gridSpan w:val="3"/>
            <w:shd w:val="clear" w:color="auto" w:fill="AEAAAA" w:themeFill="background2" w:themeFillShade="BF"/>
          </w:tcPr>
          <w:p w14:paraId="6DE687B5" w14:textId="77777777" w:rsidR="00846DF1" w:rsidRDefault="00846DF1" w:rsidP="0057728A">
            <w:pPr>
              <w:rPr>
                <w:rFonts w:ascii="Arial" w:hAnsi="Arial" w:cs="Arial"/>
                <w:b/>
                <w:bCs/>
                <w:sz w:val="20"/>
                <w:szCs w:val="20"/>
              </w:rPr>
            </w:pPr>
            <w:r w:rsidRPr="00846DF1">
              <w:rPr>
                <w:rFonts w:ascii="Arial" w:hAnsi="Arial" w:cs="Arial"/>
                <w:b/>
                <w:bCs/>
                <w:sz w:val="20"/>
                <w:szCs w:val="20"/>
              </w:rPr>
              <w:t>CHANGE AND DELIVERY</w:t>
            </w:r>
          </w:p>
          <w:p w14:paraId="41A20B09" w14:textId="756990D7" w:rsidR="00846DF1" w:rsidRPr="00846DF1" w:rsidRDefault="00846DF1" w:rsidP="0057728A">
            <w:pPr>
              <w:rPr>
                <w:rFonts w:ascii="Arial" w:hAnsi="Arial" w:cs="Arial"/>
                <w:b/>
                <w:bCs/>
                <w:sz w:val="20"/>
                <w:szCs w:val="20"/>
              </w:rPr>
            </w:pPr>
          </w:p>
        </w:tc>
      </w:tr>
      <w:tr w:rsidR="007D78AF" w:rsidRPr="00152CF2" w14:paraId="71E820A5" w14:textId="77777777" w:rsidTr="00065D07">
        <w:tc>
          <w:tcPr>
            <w:tcW w:w="2726" w:type="dxa"/>
          </w:tcPr>
          <w:p w14:paraId="3DB1AAC8" w14:textId="38FAE5C1" w:rsidR="007D78AF" w:rsidRPr="00152CF2" w:rsidRDefault="00846DF1" w:rsidP="00AE1775">
            <w:pPr>
              <w:rPr>
                <w:rFonts w:ascii="Arial" w:hAnsi="Arial" w:cs="Arial"/>
                <w:sz w:val="20"/>
                <w:szCs w:val="20"/>
              </w:rPr>
            </w:pPr>
            <w:r>
              <w:rPr>
                <w:rFonts w:ascii="Arial" w:hAnsi="Arial" w:cs="Arial"/>
                <w:sz w:val="20"/>
                <w:szCs w:val="20"/>
              </w:rPr>
              <w:t>Absence Management</w:t>
            </w:r>
          </w:p>
        </w:tc>
        <w:tc>
          <w:tcPr>
            <w:tcW w:w="1380" w:type="dxa"/>
            <w:shd w:val="clear" w:color="auto" w:fill="FFFFFF" w:themeFill="background1"/>
          </w:tcPr>
          <w:p w14:paraId="63F1A068" w14:textId="24284744" w:rsidR="007D78AF" w:rsidRPr="00152CF2" w:rsidRDefault="006C521F" w:rsidP="00AE1775">
            <w:pPr>
              <w:rPr>
                <w:rFonts w:ascii="Arial" w:hAnsi="Arial" w:cs="Arial"/>
                <w:sz w:val="20"/>
                <w:szCs w:val="20"/>
              </w:rPr>
            </w:pPr>
            <w:r>
              <w:rPr>
                <w:rFonts w:ascii="Arial" w:hAnsi="Arial" w:cs="Arial"/>
                <w:sz w:val="20"/>
                <w:szCs w:val="20"/>
              </w:rPr>
              <w:t>Adequate</w:t>
            </w:r>
          </w:p>
        </w:tc>
        <w:tc>
          <w:tcPr>
            <w:tcW w:w="10490" w:type="dxa"/>
          </w:tcPr>
          <w:p w14:paraId="3A16CD0F" w14:textId="4DC78C2D" w:rsidR="006C521F" w:rsidRDefault="006C521F" w:rsidP="006C521F">
            <w:pPr>
              <w:rPr>
                <w:rFonts w:ascii="Arial" w:hAnsi="Arial" w:cs="Arial"/>
                <w:sz w:val="20"/>
                <w:szCs w:val="20"/>
              </w:rPr>
            </w:pPr>
            <w:r w:rsidRPr="006C521F">
              <w:rPr>
                <w:rFonts w:ascii="Arial" w:hAnsi="Arial" w:cs="Arial"/>
                <w:sz w:val="20"/>
                <w:szCs w:val="20"/>
              </w:rPr>
              <w:t>Our work has established that a comprehensive Policy has been adopted and that there is a reasonable level of awareness and application.</w:t>
            </w:r>
          </w:p>
          <w:p w14:paraId="7B5977B4" w14:textId="77777777" w:rsidR="006C521F" w:rsidRPr="006C521F" w:rsidRDefault="006C521F" w:rsidP="006C521F">
            <w:pPr>
              <w:rPr>
                <w:rFonts w:ascii="Arial" w:hAnsi="Arial" w:cs="Arial"/>
                <w:sz w:val="20"/>
                <w:szCs w:val="20"/>
              </w:rPr>
            </w:pPr>
          </w:p>
          <w:p w14:paraId="381EB573" w14:textId="217F4B91" w:rsidR="007D78AF" w:rsidRDefault="006C521F" w:rsidP="00AE1775">
            <w:pPr>
              <w:rPr>
                <w:rFonts w:ascii="Arial" w:hAnsi="Arial" w:cs="Arial"/>
                <w:sz w:val="20"/>
                <w:szCs w:val="20"/>
              </w:rPr>
            </w:pPr>
            <w:r w:rsidRPr="006C521F">
              <w:rPr>
                <w:rFonts w:ascii="Arial" w:hAnsi="Arial" w:cs="Arial"/>
                <w:sz w:val="20"/>
                <w:szCs w:val="20"/>
              </w:rPr>
              <w:t xml:space="preserve">Current arrangements could be strengthened in record keeping and ensuring there is full compliance in all service areas. </w:t>
            </w:r>
          </w:p>
          <w:p w14:paraId="47A3A93F" w14:textId="22126E50" w:rsidR="00846DF1" w:rsidRPr="00152CF2" w:rsidRDefault="00846DF1" w:rsidP="00AE1775">
            <w:pPr>
              <w:rPr>
                <w:rFonts w:ascii="Arial" w:hAnsi="Arial" w:cs="Arial"/>
                <w:sz w:val="20"/>
                <w:szCs w:val="20"/>
              </w:rPr>
            </w:pPr>
          </w:p>
        </w:tc>
      </w:tr>
      <w:tr w:rsidR="00FB3075" w:rsidRPr="00152CF2" w14:paraId="3CED79A9" w14:textId="77777777" w:rsidTr="00065D07">
        <w:tc>
          <w:tcPr>
            <w:tcW w:w="2726" w:type="dxa"/>
          </w:tcPr>
          <w:p w14:paraId="5F18F682" w14:textId="77777777" w:rsidR="00FB3075" w:rsidRDefault="00FB3075" w:rsidP="00FB3075">
            <w:pPr>
              <w:rPr>
                <w:rFonts w:ascii="Arial" w:hAnsi="Arial" w:cs="Arial"/>
                <w:sz w:val="20"/>
                <w:szCs w:val="20"/>
              </w:rPr>
            </w:pPr>
            <w:r>
              <w:rPr>
                <w:rFonts w:ascii="Arial" w:hAnsi="Arial" w:cs="Arial"/>
                <w:sz w:val="20"/>
                <w:szCs w:val="20"/>
              </w:rPr>
              <w:lastRenderedPageBreak/>
              <w:t>Key Strategic Contract and Partnerships</w:t>
            </w:r>
          </w:p>
          <w:p w14:paraId="51570112" w14:textId="7C2629A7" w:rsidR="00FB3075" w:rsidRDefault="00FB3075" w:rsidP="00FB3075">
            <w:pPr>
              <w:rPr>
                <w:rFonts w:ascii="Arial" w:hAnsi="Arial" w:cs="Arial"/>
                <w:sz w:val="20"/>
                <w:szCs w:val="20"/>
              </w:rPr>
            </w:pPr>
          </w:p>
        </w:tc>
        <w:tc>
          <w:tcPr>
            <w:tcW w:w="1380" w:type="dxa"/>
            <w:shd w:val="clear" w:color="auto" w:fill="FFFFFF" w:themeFill="background1"/>
          </w:tcPr>
          <w:p w14:paraId="11D0E795" w14:textId="6703EDF9" w:rsidR="00FB3075" w:rsidRPr="00152CF2" w:rsidRDefault="00FB3075" w:rsidP="00FB3075">
            <w:pPr>
              <w:rPr>
                <w:rFonts w:ascii="Arial" w:hAnsi="Arial" w:cs="Arial"/>
                <w:sz w:val="20"/>
                <w:szCs w:val="20"/>
              </w:rPr>
            </w:pPr>
            <w:r>
              <w:rPr>
                <w:rFonts w:ascii="Arial" w:hAnsi="Arial" w:cs="Arial"/>
                <w:sz w:val="20"/>
                <w:szCs w:val="20"/>
              </w:rPr>
              <w:t>Adequate</w:t>
            </w:r>
          </w:p>
        </w:tc>
        <w:tc>
          <w:tcPr>
            <w:tcW w:w="10490" w:type="dxa"/>
          </w:tcPr>
          <w:p w14:paraId="1C898BB4" w14:textId="0014644A" w:rsidR="00FB3075" w:rsidRDefault="00FB3075" w:rsidP="00FB3075">
            <w:pPr>
              <w:jc w:val="both"/>
              <w:rPr>
                <w:rFonts w:ascii="Arial" w:hAnsi="Arial" w:cs="Arial"/>
                <w:sz w:val="20"/>
                <w:szCs w:val="20"/>
              </w:rPr>
            </w:pPr>
            <w:r w:rsidRPr="00FB3075">
              <w:rPr>
                <w:rFonts w:ascii="Arial" w:hAnsi="Arial" w:cs="Arial"/>
                <w:sz w:val="20"/>
                <w:szCs w:val="20"/>
              </w:rPr>
              <w:t xml:space="preserve">Both Councils have developed a comprehensive </w:t>
            </w:r>
            <w:r w:rsidRPr="00FB3075">
              <w:rPr>
                <w:rFonts w:ascii="Arial" w:hAnsi="Arial" w:cs="Arial"/>
                <w:iCs/>
                <w:sz w:val="20"/>
                <w:szCs w:val="20"/>
              </w:rPr>
              <w:t xml:space="preserve">Key Contracts and Partnerships Framework (Framework) to help ensure that key partnerships have good systems of governance, well developed risk management practices and robust monitoring arrangements. The Frameworks are accessible to officers via the intranets to provide guidance and direction on the additional principles and requirements of a key contract/partnership. </w:t>
            </w:r>
            <w:r>
              <w:rPr>
                <w:rFonts w:ascii="Arial" w:hAnsi="Arial" w:cs="Arial"/>
                <w:iCs/>
                <w:sz w:val="20"/>
                <w:szCs w:val="20"/>
              </w:rPr>
              <w:t xml:space="preserve">  Robust reporting arrangements are also in place with k</w:t>
            </w:r>
            <w:r w:rsidRPr="00FB3075">
              <w:rPr>
                <w:rFonts w:ascii="Arial" w:hAnsi="Arial" w:cs="Arial"/>
                <w:sz w:val="20"/>
                <w:szCs w:val="20"/>
              </w:rPr>
              <w:t>ey responsible officers provide progress updates to the Transformation and Change Team for biannual reporting to SMT and annually to Cabinet</w:t>
            </w:r>
            <w:r>
              <w:rPr>
                <w:rFonts w:ascii="Arial" w:hAnsi="Arial" w:cs="Arial"/>
                <w:sz w:val="20"/>
                <w:szCs w:val="20"/>
              </w:rPr>
              <w:t>.</w:t>
            </w:r>
          </w:p>
          <w:p w14:paraId="13F8B52F" w14:textId="469467C9" w:rsidR="00FB3075" w:rsidRDefault="00FB3075" w:rsidP="00FB3075">
            <w:pPr>
              <w:jc w:val="both"/>
              <w:rPr>
                <w:rFonts w:ascii="Arial" w:hAnsi="Arial" w:cs="Arial"/>
                <w:sz w:val="20"/>
                <w:szCs w:val="20"/>
              </w:rPr>
            </w:pPr>
          </w:p>
          <w:p w14:paraId="465E667B" w14:textId="262483D7" w:rsidR="00FB3075" w:rsidRDefault="00FB3075" w:rsidP="00FB3075">
            <w:pPr>
              <w:jc w:val="both"/>
              <w:rPr>
                <w:rFonts w:ascii="Arial" w:hAnsi="Arial" w:cs="Arial"/>
                <w:sz w:val="20"/>
                <w:szCs w:val="20"/>
              </w:rPr>
            </w:pPr>
            <w:r>
              <w:rPr>
                <w:rFonts w:ascii="Arial" w:hAnsi="Arial" w:cs="Arial"/>
                <w:sz w:val="20"/>
                <w:szCs w:val="20"/>
              </w:rPr>
              <w:t>There are improvements to be made to further strengthen the current arrangements and these include:</w:t>
            </w:r>
          </w:p>
          <w:p w14:paraId="61E28FFE" w14:textId="4BBAE8A7" w:rsidR="00FB3075" w:rsidRDefault="00FB3075" w:rsidP="00FB3075">
            <w:pPr>
              <w:jc w:val="both"/>
              <w:rPr>
                <w:rFonts w:ascii="Arial" w:hAnsi="Arial" w:cs="Arial"/>
                <w:sz w:val="20"/>
                <w:szCs w:val="20"/>
              </w:rPr>
            </w:pPr>
          </w:p>
          <w:p w14:paraId="5C7C1F4A" w14:textId="20D4EDFF" w:rsidR="00FB3075" w:rsidRDefault="00FB3075" w:rsidP="00FB3075">
            <w:pPr>
              <w:pStyle w:val="ListParagraph"/>
              <w:numPr>
                <w:ilvl w:val="0"/>
                <w:numId w:val="18"/>
              </w:numPr>
              <w:jc w:val="both"/>
              <w:rPr>
                <w:rFonts w:ascii="Arial" w:hAnsi="Arial" w:cs="Arial"/>
                <w:iCs/>
                <w:sz w:val="20"/>
                <w:szCs w:val="20"/>
              </w:rPr>
            </w:pPr>
            <w:r>
              <w:rPr>
                <w:rFonts w:ascii="Arial" w:hAnsi="Arial" w:cs="Arial"/>
                <w:iCs/>
                <w:sz w:val="20"/>
                <w:szCs w:val="20"/>
              </w:rPr>
              <w:t>Review of the Framework to ensure it continues to meet the needs of the organisation;</w:t>
            </w:r>
          </w:p>
          <w:p w14:paraId="23BB20A3" w14:textId="5D498031" w:rsidR="00FB3075" w:rsidRPr="00FB3075" w:rsidRDefault="00FB3075" w:rsidP="00FB3075">
            <w:pPr>
              <w:pStyle w:val="ListParagraph"/>
              <w:numPr>
                <w:ilvl w:val="0"/>
                <w:numId w:val="18"/>
              </w:numPr>
              <w:jc w:val="both"/>
              <w:rPr>
                <w:rFonts w:ascii="Arial" w:hAnsi="Arial" w:cs="Arial"/>
                <w:iCs/>
                <w:sz w:val="20"/>
                <w:szCs w:val="20"/>
              </w:rPr>
            </w:pPr>
            <w:r>
              <w:rPr>
                <w:rFonts w:ascii="Arial" w:hAnsi="Arial" w:cs="Arial"/>
                <w:iCs/>
                <w:sz w:val="20"/>
                <w:szCs w:val="20"/>
              </w:rPr>
              <w:t>Monitoring and reporting of specific governance aspects of key partnerships to be introduced to further embed the requirements of the Framework.</w:t>
            </w:r>
          </w:p>
          <w:p w14:paraId="16510304" w14:textId="77777777" w:rsidR="00FB3075" w:rsidRPr="00FB3075" w:rsidRDefault="00FB3075" w:rsidP="00FB3075">
            <w:pPr>
              <w:jc w:val="both"/>
              <w:rPr>
                <w:rFonts w:ascii="Arial" w:hAnsi="Arial" w:cs="Arial"/>
                <w:sz w:val="20"/>
                <w:szCs w:val="20"/>
              </w:rPr>
            </w:pPr>
          </w:p>
        </w:tc>
      </w:tr>
      <w:tr w:rsidR="00FB3075" w:rsidRPr="00152CF2" w14:paraId="1C0C02F0" w14:textId="77777777" w:rsidTr="00065D07">
        <w:tc>
          <w:tcPr>
            <w:tcW w:w="2726" w:type="dxa"/>
          </w:tcPr>
          <w:p w14:paraId="4E775F5B" w14:textId="01487FC5" w:rsidR="00FB3075" w:rsidRDefault="00FB3075" w:rsidP="00FB3075">
            <w:pPr>
              <w:rPr>
                <w:rFonts w:ascii="Arial" w:hAnsi="Arial" w:cs="Arial"/>
                <w:sz w:val="20"/>
                <w:szCs w:val="20"/>
              </w:rPr>
            </w:pPr>
            <w:r>
              <w:rPr>
                <w:rFonts w:ascii="Arial" w:hAnsi="Arial" w:cs="Arial"/>
                <w:sz w:val="20"/>
                <w:szCs w:val="20"/>
              </w:rPr>
              <w:t>Payroll</w:t>
            </w:r>
          </w:p>
        </w:tc>
        <w:tc>
          <w:tcPr>
            <w:tcW w:w="1380" w:type="dxa"/>
            <w:shd w:val="clear" w:color="auto" w:fill="FFFFFF" w:themeFill="background1"/>
          </w:tcPr>
          <w:p w14:paraId="54920A89" w14:textId="18ED0478" w:rsidR="00FB3075" w:rsidRPr="00152CF2" w:rsidRDefault="0016596B" w:rsidP="00FB3075">
            <w:pPr>
              <w:rPr>
                <w:rFonts w:ascii="Arial" w:hAnsi="Arial" w:cs="Arial"/>
                <w:sz w:val="20"/>
                <w:szCs w:val="20"/>
              </w:rPr>
            </w:pPr>
            <w:r>
              <w:rPr>
                <w:rFonts w:ascii="Arial" w:hAnsi="Arial" w:cs="Arial"/>
                <w:sz w:val="20"/>
                <w:szCs w:val="20"/>
              </w:rPr>
              <w:t>Adequate</w:t>
            </w:r>
          </w:p>
        </w:tc>
        <w:tc>
          <w:tcPr>
            <w:tcW w:w="10490" w:type="dxa"/>
          </w:tcPr>
          <w:p w14:paraId="6811FE6B" w14:textId="220BF946" w:rsidR="00FB3075" w:rsidRDefault="0016596B" w:rsidP="00FB3075">
            <w:pPr>
              <w:rPr>
                <w:rFonts w:ascii="Arial" w:hAnsi="Arial" w:cs="Arial"/>
                <w:sz w:val="20"/>
                <w:szCs w:val="20"/>
              </w:rPr>
            </w:pPr>
            <w:r>
              <w:rPr>
                <w:rFonts w:ascii="Arial" w:hAnsi="Arial" w:cs="Arial"/>
                <w:sz w:val="20"/>
                <w:szCs w:val="20"/>
              </w:rPr>
              <w:t>During 2022, a significant amount of work was undertaken to move to a new payroll provider.  Our review confirmed that this project was successfully delivered with the majority of employees moving seamlessly to the new provider.</w:t>
            </w:r>
          </w:p>
          <w:p w14:paraId="67C254D7" w14:textId="253DBD35" w:rsidR="0016596B" w:rsidRDefault="0016596B" w:rsidP="00FB3075">
            <w:pPr>
              <w:rPr>
                <w:rFonts w:ascii="Arial" w:hAnsi="Arial" w:cs="Arial"/>
                <w:sz w:val="20"/>
                <w:szCs w:val="20"/>
              </w:rPr>
            </w:pPr>
          </w:p>
          <w:p w14:paraId="55E2DA9C" w14:textId="04EBA1F7" w:rsidR="0016596B" w:rsidRPr="0016596B" w:rsidRDefault="0016596B" w:rsidP="0016596B">
            <w:pPr>
              <w:rPr>
                <w:rFonts w:ascii="Arial" w:hAnsi="Arial" w:cs="Arial"/>
                <w:sz w:val="20"/>
                <w:szCs w:val="20"/>
              </w:rPr>
            </w:pPr>
            <w:r>
              <w:rPr>
                <w:rFonts w:ascii="Arial" w:hAnsi="Arial" w:cs="Arial"/>
                <w:sz w:val="20"/>
                <w:szCs w:val="20"/>
              </w:rPr>
              <w:t>Our work did identify some further improvements to be made to ensure the arrangements are fully embedded and roles and responsibilities are clear.</w:t>
            </w:r>
          </w:p>
          <w:p w14:paraId="01AB19DE" w14:textId="27F11DD3" w:rsidR="00FB3075" w:rsidRDefault="00FB3075" w:rsidP="00FB3075">
            <w:pPr>
              <w:rPr>
                <w:rFonts w:ascii="Arial" w:hAnsi="Arial" w:cs="Arial"/>
                <w:sz w:val="20"/>
                <w:szCs w:val="20"/>
              </w:rPr>
            </w:pPr>
          </w:p>
        </w:tc>
      </w:tr>
      <w:tr w:rsidR="00FB3075" w:rsidRPr="00152CF2" w14:paraId="560EF5E3" w14:textId="77777777" w:rsidTr="00065D07">
        <w:tc>
          <w:tcPr>
            <w:tcW w:w="2726" w:type="dxa"/>
          </w:tcPr>
          <w:p w14:paraId="7C951404" w14:textId="77777777" w:rsidR="00FB3075" w:rsidRDefault="00FB3075" w:rsidP="00FB3075">
            <w:pPr>
              <w:rPr>
                <w:rFonts w:ascii="Arial" w:hAnsi="Arial" w:cs="Arial"/>
                <w:sz w:val="20"/>
                <w:szCs w:val="20"/>
              </w:rPr>
            </w:pPr>
            <w:r>
              <w:rPr>
                <w:rFonts w:ascii="Arial" w:hAnsi="Arial" w:cs="Arial"/>
                <w:sz w:val="20"/>
                <w:szCs w:val="20"/>
              </w:rPr>
              <w:t>Business Grants</w:t>
            </w:r>
          </w:p>
          <w:p w14:paraId="3E38E7FE" w14:textId="33451721" w:rsidR="00FB3075" w:rsidRDefault="00FB3075" w:rsidP="00FB3075">
            <w:pPr>
              <w:rPr>
                <w:rFonts w:ascii="Arial" w:hAnsi="Arial" w:cs="Arial"/>
                <w:sz w:val="20"/>
                <w:szCs w:val="20"/>
              </w:rPr>
            </w:pPr>
          </w:p>
        </w:tc>
        <w:tc>
          <w:tcPr>
            <w:tcW w:w="1380" w:type="dxa"/>
            <w:shd w:val="clear" w:color="auto" w:fill="FFFFFF" w:themeFill="background1"/>
          </w:tcPr>
          <w:p w14:paraId="2828CCB9" w14:textId="0E95EE1C" w:rsidR="00FB3075" w:rsidRPr="00152CF2" w:rsidRDefault="00FB3075" w:rsidP="00FB3075">
            <w:pPr>
              <w:rPr>
                <w:rFonts w:ascii="Arial" w:hAnsi="Arial" w:cs="Arial"/>
                <w:sz w:val="20"/>
                <w:szCs w:val="20"/>
              </w:rPr>
            </w:pPr>
            <w:r>
              <w:rPr>
                <w:rFonts w:ascii="Arial" w:hAnsi="Arial" w:cs="Arial"/>
                <w:sz w:val="20"/>
                <w:szCs w:val="20"/>
              </w:rPr>
              <w:t>Not applicable</w:t>
            </w:r>
          </w:p>
        </w:tc>
        <w:tc>
          <w:tcPr>
            <w:tcW w:w="10490" w:type="dxa"/>
          </w:tcPr>
          <w:p w14:paraId="48021BB8" w14:textId="77777777" w:rsidR="00FB3075" w:rsidRPr="006C521F" w:rsidRDefault="00FB3075" w:rsidP="00FB3075">
            <w:pPr>
              <w:pStyle w:val="Heading2"/>
              <w:outlineLvl w:val="1"/>
              <w:rPr>
                <w:rFonts w:ascii="Arial" w:hAnsi="Arial" w:cs="Arial"/>
                <w:b w:val="0"/>
                <w:bCs w:val="0"/>
                <w:sz w:val="20"/>
                <w:szCs w:val="20"/>
              </w:rPr>
            </w:pPr>
            <w:r w:rsidRPr="006C521F">
              <w:rPr>
                <w:rFonts w:ascii="Arial" w:hAnsi="Arial" w:cs="Arial"/>
                <w:b w:val="0"/>
                <w:bCs w:val="0"/>
                <w:sz w:val="20"/>
                <w:szCs w:val="20"/>
              </w:rPr>
              <w:t xml:space="preserve">Internal Audit provided advice/guidance relating to setting up a new process for administering the South Ribble Business Energy Efficiency (BEE) Scheme.  </w:t>
            </w:r>
          </w:p>
          <w:p w14:paraId="404299B1" w14:textId="776105EE" w:rsidR="00FB3075" w:rsidRDefault="00FB3075" w:rsidP="00FB3075">
            <w:pPr>
              <w:rPr>
                <w:rFonts w:ascii="Arial" w:hAnsi="Arial" w:cs="Arial"/>
                <w:sz w:val="20"/>
                <w:szCs w:val="20"/>
              </w:rPr>
            </w:pPr>
          </w:p>
        </w:tc>
      </w:tr>
      <w:tr w:rsidR="00FB3075" w:rsidRPr="00152CF2" w14:paraId="220AB84C" w14:textId="77777777" w:rsidTr="00846DF1">
        <w:tc>
          <w:tcPr>
            <w:tcW w:w="14596" w:type="dxa"/>
            <w:gridSpan w:val="3"/>
            <w:shd w:val="clear" w:color="auto" w:fill="AEAAAA" w:themeFill="background2" w:themeFillShade="BF"/>
          </w:tcPr>
          <w:p w14:paraId="41212E19" w14:textId="77777777" w:rsidR="00FB3075" w:rsidRPr="00846DF1" w:rsidRDefault="00FB3075" w:rsidP="00FB3075">
            <w:pPr>
              <w:rPr>
                <w:rFonts w:ascii="Arial" w:hAnsi="Arial" w:cs="Arial"/>
                <w:b/>
                <w:bCs/>
                <w:sz w:val="20"/>
                <w:szCs w:val="20"/>
              </w:rPr>
            </w:pPr>
            <w:r w:rsidRPr="00846DF1">
              <w:rPr>
                <w:rFonts w:ascii="Arial" w:hAnsi="Arial" w:cs="Arial"/>
                <w:b/>
                <w:bCs/>
                <w:sz w:val="20"/>
                <w:szCs w:val="20"/>
              </w:rPr>
              <w:t>GOVERNANCE</w:t>
            </w:r>
          </w:p>
          <w:p w14:paraId="38F4CA89" w14:textId="79580769" w:rsidR="00FB3075" w:rsidRDefault="00FB3075" w:rsidP="00FB3075">
            <w:pPr>
              <w:rPr>
                <w:rFonts w:ascii="Arial" w:hAnsi="Arial" w:cs="Arial"/>
                <w:sz w:val="20"/>
                <w:szCs w:val="20"/>
              </w:rPr>
            </w:pPr>
          </w:p>
        </w:tc>
      </w:tr>
      <w:tr w:rsidR="00FB3075" w:rsidRPr="00152CF2" w14:paraId="2853CFE2" w14:textId="77777777" w:rsidTr="007D78AF">
        <w:tc>
          <w:tcPr>
            <w:tcW w:w="2726" w:type="dxa"/>
          </w:tcPr>
          <w:p w14:paraId="10425C9D" w14:textId="02F7ED0B" w:rsidR="00FB3075" w:rsidRPr="0057728A" w:rsidRDefault="00FB3075" w:rsidP="00FB3075">
            <w:pPr>
              <w:rPr>
                <w:rFonts w:ascii="Arial" w:hAnsi="Arial" w:cs="Arial"/>
                <w:sz w:val="20"/>
                <w:szCs w:val="20"/>
              </w:rPr>
            </w:pPr>
            <w:r>
              <w:rPr>
                <w:rFonts w:ascii="Arial" w:hAnsi="Arial" w:cs="Arial"/>
                <w:sz w:val="20"/>
                <w:szCs w:val="20"/>
              </w:rPr>
              <w:t>Code of Conduct</w:t>
            </w:r>
          </w:p>
        </w:tc>
        <w:tc>
          <w:tcPr>
            <w:tcW w:w="1380" w:type="dxa"/>
          </w:tcPr>
          <w:p w14:paraId="5CE79EDE" w14:textId="1E8422EC" w:rsidR="00FB3075" w:rsidRDefault="00FB3075" w:rsidP="00FB3075">
            <w:pPr>
              <w:rPr>
                <w:rFonts w:ascii="Arial" w:hAnsi="Arial" w:cs="Arial"/>
                <w:sz w:val="20"/>
                <w:szCs w:val="20"/>
              </w:rPr>
            </w:pPr>
            <w:r>
              <w:rPr>
                <w:rFonts w:ascii="Arial" w:hAnsi="Arial" w:cs="Arial"/>
                <w:sz w:val="20"/>
                <w:szCs w:val="20"/>
              </w:rPr>
              <w:t>Substantial</w:t>
            </w:r>
          </w:p>
        </w:tc>
        <w:tc>
          <w:tcPr>
            <w:tcW w:w="10490" w:type="dxa"/>
          </w:tcPr>
          <w:p w14:paraId="572D89FF" w14:textId="49224C1B" w:rsidR="00FB3075" w:rsidRDefault="00FB3075" w:rsidP="00FB3075">
            <w:pPr>
              <w:rPr>
                <w:rFonts w:ascii="Arial" w:hAnsi="Arial" w:cs="Arial"/>
                <w:sz w:val="20"/>
                <w:szCs w:val="20"/>
              </w:rPr>
            </w:pPr>
            <w:r>
              <w:rPr>
                <w:rFonts w:ascii="Arial" w:hAnsi="Arial" w:cs="Arial"/>
                <w:sz w:val="20"/>
                <w:szCs w:val="20"/>
              </w:rPr>
              <w:t>No key control issues were identified for this review.</w:t>
            </w:r>
          </w:p>
          <w:p w14:paraId="3CC68E74" w14:textId="5FDDB31F" w:rsidR="00FB3075" w:rsidRPr="0057728A" w:rsidRDefault="00FB3075" w:rsidP="00FB3075">
            <w:pPr>
              <w:rPr>
                <w:rFonts w:ascii="Arial" w:hAnsi="Arial" w:cs="Arial"/>
                <w:sz w:val="20"/>
                <w:szCs w:val="20"/>
              </w:rPr>
            </w:pPr>
          </w:p>
        </w:tc>
      </w:tr>
      <w:tr w:rsidR="00FB3075" w:rsidRPr="00152CF2" w14:paraId="6EBB9CE9" w14:textId="77777777" w:rsidTr="007D78AF">
        <w:tc>
          <w:tcPr>
            <w:tcW w:w="2726" w:type="dxa"/>
          </w:tcPr>
          <w:p w14:paraId="6F9D7A99" w14:textId="1386D472" w:rsidR="00FB3075" w:rsidRDefault="00FB3075" w:rsidP="00FB3075">
            <w:pPr>
              <w:rPr>
                <w:rFonts w:ascii="Arial" w:hAnsi="Arial" w:cs="Arial"/>
                <w:sz w:val="20"/>
                <w:szCs w:val="20"/>
              </w:rPr>
            </w:pPr>
            <w:r w:rsidRPr="0057728A">
              <w:rPr>
                <w:rFonts w:ascii="Arial" w:hAnsi="Arial" w:cs="Arial"/>
                <w:sz w:val="20"/>
                <w:szCs w:val="20"/>
              </w:rPr>
              <w:t>G</w:t>
            </w:r>
            <w:r>
              <w:rPr>
                <w:rFonts w:ascii="Arial" w:hAnsi="Arial" w:cs="Arial"/>
                <w:sz w:val="20"/>
                <w:szCs w:val="20"/>
              </w:rPr>
              <w:t xml:space="preserve">eneral </w:t>
            </w:r>
            <w:r w:rsidRPr="0057728A">
              <w:rPr>
                <w:rFonts w:ascii="Arial" w:hAnsi="Arial" w:cs="Arial"/>
                <w:sz w:val="20"/>
                <w:szCs w:val="20"/>
              </w:rPr>
              <w:t>D</w:t>
            </w:r>
            <w:r>
              <w:rPr>
                <w:rFonts w:ascii="Arial" w:hAnsi="Arial" w:cs="Arial"/>
                <w:sz w:val="20"/>
                <w:szCs w:val="20"/>
              </w:rPr>
              <w:t xml:space="preserve">ata </w:t>
            </w:r>
            <w:r w:rsidRPr="0057728A">
              <w:rPr>
                <w:rFonts w:ascii="Arial" w:hAnsi="Arial" w:cs="Arial"/>
                <w:sz w:val="20"/>
                <w:szCs w:val="20"/>
              </w:rPr>
              <w:t>P</w:t>
            </w:r>
            <w:r>
              <w:rPr>
                <w:rFonts w:ascii="Arial" w:hAnsi="Arial" w:cs="Arial"/>
                <w:sz w:val="20"/>
                <w:szCs w:val="20"/>
              </w:rPr>
              <w:t xml:space="preserve">rotection </w:t>
            </w:r>
            <w:r w:rsidRPr="0057728A">
              <w:rPr>
                <w:rFonts w:ascii="Arial" w:hAnsi="Arial" w:cs="Arial"/>
                <w:sz w:val="20"/>
                <w:szCs w:val="20"/>
              </w:rPr>
              <w:t>R</w:t>
            </w:r>
            <w:r>
              <w:rPr>
                <w:rFonts w:ascii="Arial" w:hAnsi="Arial" w:cs="Arial"/>
                <w:sz w:val="20"/>
                <w:szCs w:val="20"/>
              </w:rPr>
              <w:t>egulations – data retention</w:t>
            </w:r>
            <w:r w:rsidRPr="0057728A">
              <w:rPr>
                <w:rFonts w:ascii="Arial" w:hAnsi="Arial" w:cs="Arial"/>
                <w:sz w:val="20"/>
                <w:szCs w:val="20"/>
              </w:rPr>
              <w:t xml:space="preserve"> </w:t>
            </w:r>
          </w:p>
          <w:p w14:paraId="2627C040" w14:textId="0347ABFB" w:rsidR="00FB3075" w:rsidRPr="0057728A" w:rsidRDefault="00FB3075" w:rsidP="00FB3075">
            <w:pPr>
              <w:rPr>
                <w:rFonts w:ascii="Arial" w:hAnsi="Arial" w:cs="Arial"/>
                <w:sz w:val="20"/>
                <w:szCs w:val="20"/>
              </w:rPr>
            </w:pPr>
          </w:p>
        </w:tc>
        <w:tc>
          <w:tcPr>
            <w:tcW w:w="1380" w:type="dxa"/>
          </w:tcPr>
          <w:p w14:paraId="5E072C98" w14:textId="56C3614C" w:rsidR="00FB3075" w:rsidRPr="0057728A" w:rsidRDefault="00FB3075" w:rsidP="00FB3075">
            <w:pPr>
              <w:rPr>
                <w:rFonts w:ascii="Arial" w:hAnsi="Arial" w:cs="Arial"/>
                <w:sz w:val="20"/>
                <w:szCs w:val="20"/>
              </w:rPr>
            </w:pPr>
            <w:r>
              <w:rPr>
                <w:rFonts w:ascii="Arial" w:hAnsi="Arial" w:cs="Arial"/>
                <w:sz w:val="20"/>
                <w:szCs w:val="20"/>
              </w:rPr>
              <w:t>Limited</w:t>
            </w:r>
          </w:p>
        </w:tc>
        <w:tc>
          <w:tcPr>
            <w:tcW w:w="10490" w:type="dxa"/>
          </w:tcPr>
          <w:p w14:paraId="697FB632" w14:textId="77777777" w:rsidR="00FB3075" w:rsidRPr="00FB3075" w:rsidRDefault="00FB3075" w:rsidP="00FB3075">
            <w:pPr>
              <w:jc w:val="both"/>
              <w:rPr>
                <w:rFonts w:ascii="Arial" w:hAnsi="Arial" w:cs="Arial"/>
                <w:sz w:val="20"/>
                <w:szCs w:val="20"/>
              </w:rPr>
            </w:pPr>
            <w:r w:rsidRPr="00FB3075">
              <w:rPr>
                <w:rFonts w:ascii="Arial" w:hAnsi="Arial" w:cs="Arial"/>
                <w:sz w:val="20"/>
                <w:szCs w:val="20"/>
              </w:rPr>
              <w:t>This review confirmed the need for the Council to:</w:t>
            </w:r>
          </w:p>
          <w:p w14:paraId="637D824A" w14:textId="77777777" w:rsidR="00FB3075" w:rsidRPr="00FB3075" w:rsidRDefault="00FB3075" w:rsidP="00FB3075">
            <w:pPr>
              <w:jc w:val="both"/>
              <w:rPr>
                <w:rFonts w:ascii="Arial" w:hAnsi="Arial" w:cs="Arial"/>
                <w:sz w:val="20"/>
                <w:szCs w:val="20"/>
              </w:rPr>
            </w:pPr>
          </w:p>
          <w:p w14:paraId="60FC40D3" w14:textId="77777777" w:rsidR="00FB3075" w:rsidRPr="00FB3075" w:rsidRDefault="00FB3075" w:rsidP="00FB3075">
            <w:pPr>
              <w:pStyle w:val="ListParagraph"/>
              <w:numPr>
                <w:ilvl w:val="0"/>
                <w:numId w:val="16"/>
              </w:numPr>
              <w:contextualSpacing w:val="0"/>
              <w:jc w:val="both"/>
              <w:rPr>
                <w:rFonts w:ascii="Arial" w:hAnsi="Arial" w:cs="Arial"/>
                <w:sz w:val="20"/>
                <w:szCs w:val="20"/>
              </w:rPr>
            </w:pPr>
            <w:r w:rsidRPr="00FB3075">
              <w:rPr>
                <w:rFonts w:ascii="Arial" w:hAnsi="Arial" w:cs="Arial"/>
                <w:sz w:val="20"/>
                <w:szCs w:val="20"/>
              </w:rPr>
              <w:t>Implement a rigorous process for review of polices to ensure they remain accurate and reflective of operational activity;</w:t>
            </w:r>
          </w:p>
          <w:p w14:paraId="484FC6BA" w14:textId="77777777" w:rsidR="00FB3075" w:rsidRPr="00FB3075" w:rsidRDefault="00FB3075" w:rsidP="00FB3075">
            <w:pPr>
              <w:pStyle w:val="ListParagraph"/>
              <w:numPr>
                <w:ilvl w:val="0"/>
                <w:numId w:val="16"/>
              </w:numPr>
              <w:contextualSpacing w:val="0"/>
              <w:jc w:val="both"/>
              <w:rPr>
                <w:rFonts w:ascii="Arial" w:hAnsi="Arial" w:cs="Arial"/>
                <w:sz w:val="20"/>
                <w:szCs w:val="20"/>
              </w:rPr>
            </w:pPr>
            <w:r w:rsidRPr="00FB3075">
              <w:rPr>
                <w:rFonts w:ascii="Arial" w:hAnsi="Arial" w:cs="Arial"/>
                <w:sz w:val="20"/>
                <w:szCs w:val="20"/>
              </w:rPr>
              <w:t>Align ROPAs, data retention schedules and Privacy notices to ensure a consistent approach is adopted and clear and accurate information is provided to the public;</w:t>
            </w:r>
          </w:p>
          <w:p w14:paraId="3787B2E0" w14:textId="77777777" w:rsidR="00FB3075" w:rsidRPr="00FB3075" w:rsidRDefault="00FB3075" w:rsidP="00FB3075">
            <w:pPr>
              <w:pStyle w:val="ListParagraph"/>
              <w:numPr>
                <w:ilvl w:val="0"/>
                <w:numId w:val="16"/>
              </w:numPr>
              <w:contextualSpacing w:val="0"/>
              <w:jc w:val="both"/>
              <w:rPr>
                <w:rFonts w:ascii="Arial" w:hAnsi="Arial" w:cs="Arial"/>
                <w:sz w:val="20"/>
                <w:szCs w:val="20"/>
              </w:rPr>
            </w:pPr>
            <w:r w:rsidRPr="00FB3075">
              <w:rPr>
                <w:rFonts w:ascii="Arial" w:hAnsi="Arial" w:cs="Arial"/>
                <w:sz w:val="20"/>
                <w:szCs w:val="20"/>
              </w:rPr>
              <w:t>Ensure the ROPA is up to date and regularly reviewed;</w:t>
            </w:r>
          </w:p>
          <w:p w14:paraId="6BE60507" w14:textId="77777777" w:rsidR="00FB3075" w:rsidRPr="00FB3075" w:rsidRDefault="00FB3075" w:rsidP="00FB3075">
            <w:pPr>
              <w:pStyle w:val="ListParagraph"/>
              <w:numPr>
                <w:ilvl w:val="0"/>
                <w:numId w:val="16"/>
              </w:numPr>
              <w:contextualSpacing w:val="0"/>
              <w:jc w:val="both"/>
              <w:rPr>
                <w:rFonts w:ascii="Arial" w:hAnsi="Arial" w:cs="Arial"/>
                <w:sz w:val="20"/>
                <w:szCs w:val="20"/>
              </w:rPr>
            </w:pPr>
            <w:r w:rsidRPr="00FB3075">
              <w:rPr>
                <w:rFonts w:ascii="Arial" w:hAnsi="Arial" w:cs="Arial"/>
                <w:sz w:val="20"/>
                <w:szCs w:val="20"/>
              </w:rPr>
              <w:lastRenderedPageBreak/>
              <w:t>Each Directorate to ensure data held meets the agreed data retention schedules.</w:t>
            </w:r>
          </w:p>
          <w:p w14:paraId="725BCC95" w14:textId="77777777" w:rsidR="00FB3075" w:rsidRPr="00FB3075" w:rsidRDefault="00FB3075" w:rsidP="00FB3075">
            <w:pPr>
              <w:jc w:val="both"/>
              <w:rPr>
                <w:rFonts w:ascii="Arial" w:hAnsi="Arial" w:cs="Arial"/>
                <w:sz w:val="20"/>
                <w:szCs w:val="20"/>
              </w:rPr>
            </w:pPr>
          </w:p>
          <w:p w14:paraId="46C477D3" w14:textId="77777777" w:rsidR="00FB3075" w:rsidRPr="00FB3075" w:rsidRDefault="00FB3075" w:rsidP="00FB3075">
            <w:pPr>
              <w:jc w:val="both"/>
              <w:rPr>
                <w:rFonts w:ascii="Arial" w:hAnsi="Arial" w:cs="Arial"/>
                <w:sz w:val="20"/>
                <w:szCs w:val="20"/>
              </w:rPr>
            </w:pPr>
            <w:r w:rsidRPr="00FB3075">
              <w:rPr>
                <w:rFonts w:ascii="Arial" w:hAnsi="Arial" w:cs="Arial"/>
                <w:sz w:val="20"/>
                <w:szCs w:val="20"/>
              </w:rPr>
              <w:t>The Senior Management Team have accepted the findings of the review and agreed to implement all agreed actions by September 2023.</w:t>
            </w:r>
          </w:p>
          <w:p w14:paraId="544698C9" w14:textId="5786FBD1" w:rsidR="00FB3075" w:rsidRPr="00FB3075" w:rsidRDefault="00FB3075" w:rsidP="00FB3075">
            <w:pPr>
              <w:rPr>
                <w:rFonts w:ascii="Arial" w:hAnsi="Arial" w:cs="Arial"/>
                <w:sz w:val="20"/>
                <w:szCs w:val="20"/>
              </w:rPr>
            </w:pPr>
          </w:p>
        </w:tc>
      </w:tr>
      <w:tr w:rsidR="00FB3075" w:rsidRPr="00152CF2" w14:paraId="66C89B39" w14:textId="77777777" w:rsidTr="00637512">
        <w:tc>
          <w:tcPr>
            <w:tcW w:w="14596" w:type="dxa"/>
            <w:gridSpan w:val="3"/>
            <w:shd w:val="clear" w:color="auto" w:fill="AEAAAA" w:themeFill="background2" w:themeFillShade="BF"/>
          </w:tcPr>
          <w:p w14:paraId="0C4E5BC0" w14:textId="77777777" w:rsidR="00FB3075" w:rsidRDefault="00FB3075" w:rsidP="00FB3075">
            <w:pPr>
              <w:rPr>
                <w:rFonts w:ascii="Arial" w:hAnsi="Arial" w:cs="Arial"/>
                <w:b/>
                <w:bCs/>
                <w:sz w:val="20"/>
                <w:szCs w:val="20"/>
              </w:rPr>
            </w:pPr>
            <w:r w:rsidRPr="00637512">
              <w:rPr>
                <w:rFonts w:ascii="Arial" w:hAnsi="Arial" w:cs="Arial"/>
                <w:b/>
                <w:bCs/>
                <w:sz w:val="20"/>
                <w:szCs w:val="20"/>
              </w:rPr>
              <w:lastRenderedPageBreak/>
              <w:t>SHARED FINANCIAL SERVICES</w:t>
            </w:r>
          </w:p>
          <w:p w14:paraId="5711F3F3" w14:textId="25A6D537" w:rsidR="00FB3075" w:rsidRPr="00637512" w:rsidRDefault="00FB3075" w:rsidP="00FB3075">
            <w:pPr>
              <w:rPr>
                <w:rFonts w:ascii="Arial" w:hAnsi="Arial" w:cs="Arial"/>
                <w:b/>
                <w:bCs/>
                <w:sz w:val="20"/>
                <w:szCs w:val="20"/>
              </w:rPr>
            </w:pPr>
          </w:p>
        </w:tc>
      </w:tr>
      <w:tr w:rsidR="00FB3075" w:rsidRPr="00152CF2" w14:paraId="4BE3708F" w14:textId="77777777" w:rsidTr="0057728A">
        <w:tc>
          <w:tcPr>
            <w:tcW w:w="2726" w:type="dxa"/>
          </w:tcPr>
          <w:p w14:paraId="424FEA45" w14:textId="47F66E32" w:rsidR="00FB3075" w:rsidRDefault="00FB3075" w:rsidP="00FB3075">
            <w:pPr>
              <w:rPr>
                <w:rFonts w:ascii="Arial" w:hAnsi="Arial" w:cs="Arial"/>
                <w:sz w:val="20"/>
                <w:szCs w:val="20"/>
              </w:rPr>
            </w:pPr>
            <w:r>
              <w:rPr>
                <w:rFonts w:ascii="Arial" w:hAnsi="Arial" w:cs="Arial"/>
                <w:sz w:val="20"/>
                <w:szCs w:val="20"/>
              </w:rPr>
              <w:t>Review of VAT</w:t>
            </w:r>
          </w:p>
          <w:p w14:paraId="0DB20F85" w14:textId="1705530D" w:rsidR="00FB3075" w:rsidRPr="00152CF2" w:rsidRDefault="00FB3075" w:rsidP="00FB3075">
            <w:pPr>
              <w:rPr>
                <w:rFonts w:ascii="Arial" w:hAnsi="Arial" w:cs="Arial"/>
                <w:sz w:val="20"/>
                <w:szCs w:val="20"/>
              </w:rPr>
            </w:pPr>
          </w:p>
        </w:tc>
        <w:tc>
          <w:tcPr>
            <w:tcW w:w="1380" w:type="dxa"/>
            <w:shd w:val="clear" w:color="auto" w:fill="auto"/>
          </w:tcPr>
          <w:p w14:paraId="030A2176" w14:textId="767AE106" w:rsidR="00FB3075" w:rsidRPr="0057728A" w:rsidRDefault="00FB3075" w:rsidP="00FB3075">
            <w:pPr>
              <w:rPr>
                <w:rFonts w:ascii="Arial" w:hAnsi="Arial" w:cs="Arial"/>
                <w:sz w:val="20"/>
                <w:szCs w:val="20"/>
              </w:rPr>
            </w:pPr>
            <w:r>
              <w:rPr>
                <w:rFonts w:ascii="Arial" w:hAnsi="Arial" w:cs="Arial"/>
                <w:sz w:val="20"/>
                <w:szCs w:val="20"/>
              </w:rPr>
              <w:t>Substantial</w:t>
            </w:r>
          </w:p>
        </w:tc>
        <w:tc>
          <w:tcPr>
            <w:tcW w:w="10490" w:type="dxa"/>
          </w:tcPr>
          <w:p w14:paraId="284EA955" w14:textId="77777777" w:rsidR="00FB3075" w:rsidRDefault="00FB3075" w:rsidP="00FB3075">
            <w:pPr>
              <w:rPr>
                <w:rFonts w:ascii="Arial" w:hAnsi="Arial" w:cs="Arial"/>
                <w:sz w:val="20"/>
                <w:szCs w:val="20"/>
              </w:rPr>
            </w:pPr>
            <w:r w:rsidRPr="00637512">
              <w:rPr>
                <w:rFonts w:ascii="Arial" w:hAnsi="Arial" w:cs="Arial"/>
                <w:sz w:val="20"/>
                <w:szCs w:val="20"/>
              </w:rPr>
              <w:t>Our work has established that the Council has a good level of arrangements and that established controls are operating effectively.</w:t>
            </w:r>
          </w:p>
          <w:p w14:paraId="36B24B90" w14:textId="2F59EFBB" w:rsidR="00FB3075" w:rsidRPr="00637512" w:rsidRDefault="00FB3075" w:rsidP="00FB3075">
            <w:pPr>
              <w:rPr>
                <w:rFonts w:ascii="Arial" w:hAnsi="Arial" w:cs="Arial"/>
                <w:sz w:val="20"/>
                <w:szCs w:val="20"/>
              </w:rPr>
            </w:pPr>
          </w:p>
        </w:tc>
      </w:tr>
      <w:tr w:rsidR="00FB3075" w:rsidRPr="00152CF2" w14:paraId="5FFB0BB1" w14:textId="77777777" w:rsidTr="0057728A">
        <w:tc>
          <w:tcPr>
            <w:tcW w:w="2726" w:type="dxa"/>
          </w:tcPr>
          <w:p w14:paraId="5468E03D" w14:textId="47D6E7FF" w:rsidR="00FB3075" w:rsidRDefault="00FB3075" w:rsidP="00FB3075">
            <w:pPr>
              <w:rPr>
                <w:rFonts w:ascii="Arial" w:hAnsi="Arial" w:cs="Arial"/>
                <w:sz w:val="20"/>
                <w:szCs w:val="20"/>
              </w:rPr>
            </w:pPr>
            <w:r>
              <w:rPr>
                <w:rFonts w:ascii="Arial" w:hAnsi="Arial" w:cs="Arial"/>
                <w:sz w:val="20"/>
                <w:szCs w:val="20"/>
              </w:rPr>
              <w:t>External Funding</w:t>
            </w:r>
          </w:p>
        </w:tc>
        <w:tc>
          <w:tcPr>
            <w:tcW w:w="1380" w:type="dxa"/>
            <w:shd w:val="clear" w:color="auto" w:fill="auto"/>
          </w:tcPr>
          <w:p w14:paraId="7863C8C1" w14:textId="58F1D50F" w:rsidR="00FB3075" w:rsidRDefault="0016596B" w:rsidP="00FB3075">
            <w:pPr>
              <w:rPr>
                <w:rFonts w:ascii="Arial" w:hAnsi="Arial" w:cs="Arial"/>
                <w:sz w:val="20"/>
                <w:szCs w:val="20"/>
              </w:rPr>
            </w:pPr>
            <w:r>
              <w:rPr>
                <w:rFonts w:ascii="Arial" w:hAnsi="Arial" w:cs="Arial"/>
                <w:sz w:val="20"/>
                <w:szCs w:val="20"/>
              </w:rPr>
              <w:t>Adequate</w:t>
            </w:r>
          </w:p>
          <w:p w14:paraId="566F6DE2" w14:textId="0CD23C66" w:rsidR="00FB3075" w:rsidRDefault="00FB3075" w:rsidP="00FB3075">
            <w:pPr>
              <w:rPr>
                <w:rFonts w:ascii="Arial" w:hAnsi="Arial" w:cs="Arial"/>
                <w:sz w:val="20"/>
                <w:szCs w:val="20"/>
              </w:rPr>
            </w:pPr>
          </w:p>
        </w:tc>
        <w:tc>
          <w:tcPr>
            <w:tcW w:w="10490" w:type="dxa"/>
          </w:tcPr>
          <w:p w14:paraId="563A94C5" w14:textId="77777777" w:rsidR="0016596B" w:rsidRPr="00814AF8" w:rsidRDefault="0016596B" w:rsidP="0016596B">
            <w:pPr>
              <w:jc w:val="both"/>
              <w:rPr>
                <w:rFonts w:ascii="Arial" w:hAnsi="Arial" w:cs="Arial"/>
                <w:sz w:val="20"/>
                <w:szCs w:val="20"/>
              </w:rPr>
            </w:pPr>
            <w:r w:rsidRPr="00814AF8">
              <w:rPr>
                <w:rFonts w:ascii="Arial" w:hAnsi="Arial" w:cs="Arial"/>
                <w:sz w:val="20"/>
                <w:szCs w:val="20"/>
              </w:rPr>
              <w:t xml:space="preserve">Testing identified confirmed that funding conditions are predominantly adhered to; the application process had been clearly designated to a responsible officer and there is alignment with the appropriate organisation’s Corporate Strategy/statutory obligation. </w:t>
            </w:r>
          </w:p>
          <w:p w14:paraId="206A220F" w14:textId="77777777" w:rsidR="0016596B" w:rsidRPr="00814AF8" w:rsidRDefault="0016596B" w:rsidP="0016596B">
            <w:pPr>
              <w:jc w:val="both"/>
              <w:rPr>
                <w:rFonts w:ascii="Arial" w:hAnsi="Arial" w:cs="Arial"/>
                <w:sz w:val="20"/>
                <w:szCs w:val="20"/>
              </w:rPr>
            </w:pPr>
          </w:p>
          <w:p w14:paraId="22A960C8" w14:textId="78A4B7F7" w:rsidR="0016596B" w:rsidRPr="00814AF8" w:rsidRDefault="0016596B" w:rsidP="0016596B">
            <w:pPr>
              <w:jc w:val="both"/>
              <w:rPr>
                <w:rFonts w:ascii="Arial" w:hAnsi="Arial" w:cs="Arial"/>
                <w:sz w:val="20"/>
                <w:szCs w:val="20"/>
              </w:rPr>
            </w:pPr>
            <w:r w:rsidRPr="00814AF8">
              <w:rPr>
                <w:rFonts w:ascii="Arial" w:hAnsi="Arial" w:cs="Arial"/>
                <w:sz w:val="20"/>
                <w:szCs w:val="20"/>
              </w:rPr>
              <w:t xml:space="preserve">However it was identified that the Council would benefit from </w:t>
            </w:r>
            <w:r>
              <w:rPr>
                <w:rFonts w:ascii="Arial" w:hAnsi="Arial" w:cs="Arial"/>
                <w:sz w:val="20"/>
                <w:szCs w:val="20"/>
              </w:rPr>
              <w:t>t</w:t>
            </w:r>
            <w:r w:rsidRPr="00814AF8">
              <w:rPr>
                <w:rFonts w:ascii="Arial" w:hAnsi="Arial" w:cs="Arial"/>
                <w:sz w:val="20"/>
                <w:szCs w:val="20"/>
              </w:rPr>
              <w:t>he introduction of an External Funding Strategy to augment the requirements set out in the Councils’ Financial Procedure Rules would support managers, formalise procedures, set the standard for record keeping, and assist in providing assurance to the Director of Finance that robust monitoring arrangements are in place for all grant awards received</w:t>
            </w:r>
            <w:r>
              <w:rPr>
                <w:rFonts w:ascii="Arial" w:hAnsi="Arial" w:cs="Arial"/>
                <w:sz w:val="20"/>
                <w:szCs w:val="20"/>
              </w:rPr>
              <w:t xml:space="preserve">. </w:t>
            </w:r>
          </w:p>
          <w:p w14:paraId="49EF93D5" w14:textId="123A00BA" w:rsidR="00FB3075" w:rsidRDefault="00FB3075" w:rsidP="00FB3075">
            <w:pPr>
              <w:rPr>
                <w:rFonts w:ascii="Arial" w:hAnsi="Arial" w:cs="Arial"/>
                <w:sz w:val="20"/>
                <w:szCs w:val="20"/>
              </w:rPr>
            </w:pPr>
          </w:p>
          <w:p w14:paraId="0BD75C42" w14:textId="26A2ADBB" w:rsidR="00FB3075" w:rsidRPr="00637512" w:rsidRDefault="00FB3075" w:rsidP="00FB3075">
            <w:pPr>
              <w:rPr>
                <w:rFonts w:ascii="Arial" w:hAnsi="Arial" w:cs="Arial"/>
                <w:sz w:val="20"/>
                <w:szCs w:val="20"/>
              </w:rPr>
            </w:pPr>
          </w:p>
        </w:tc>
      </w:tr>
    </w:tbl>
    <w:p w14:paraId="4EBFFD3B" w14:textId="091A5759" w:rsidR="00D56BE3" w:rsidRPr="00152CF2" w:rsidRDefault="00D56BE3">
      <w:pPr>
        <w:rPr>
          <w:rFonts w:ascii="Arial" w:hAnsi="Arial" w:cs="Arial"/>
          <w:sz w:val="20"/>
          <w:szCs w:val="20"/>
        </w:rPr>
      </w:pPr>
    </w:p>
    <w:p w14:paraId="16E96FE7" w14:textId="1476B721" w:rsidR="002634B5" w:rsidRPr="00152CF2" w:rsidRDefault="002634B5">
      <w:pPr>
        <w:rPr>
          <w:rFonts w:ascii="Arial" w:hAnsi="Arial" w:cs="Arial"/>
          <w:sz w:val="20"/>
          <w:szCs w:val="20"/>
        </w:rPr>
      </w:pPr>
    </w:p>
    <w:p w14:paraId="295C2809" w14:textId="77777777" w:rsidR="002634B5" w:rsidRPr="00152CF2" w:rsidRDefault="002634B5">
      <w:pPr>
        <w:rPr>
          <w:rFonts w:ascii="Arial" w:hAnsi="Arial" w:cs="Arial"/>
          <w:sz w:val="20"/>
          <w:szCs w:val="20"/>
        </w:rPr>
      </w:pPr>
    </w:p>
    <w:sectPr w:rsidR="002634B5" w:rsidRPr="00152CF2" w:rsidSect="002634B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A7AA2" w14:textId="77777777" w:rsidR="003044A2" w:rsidRDefault="003044A2" w:rsidP="001E2DCA">
      <w:pPr>
        <w:spacing w:after="0" w:line="240" w:lineRule="auto"/>
      </w:pPr>
      <w:r>
        <w:separator/>
      </w:r>
    </w:p>
  </w:endnote>
  <w:endnote w:type="continuationSeparator" w:id="0">
    <w:p w14:paraId="43A55634" w14:textId="77777777" w:rsidR="003044A2" w:rsidRDefault="003044A2" w:rsidP="001E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B0A1" w14:textId="77777777" w:rsidR="003044A2" w:rsidRDefault="003044A2" w:rsidP="001E2DCA">
      <w:pPr>
        <w:spacing w:after="0" w:line="240" w:lineRule="auto"/>
      </w:pPr>
      <w:r>
        <w:separator/>
      </w:r>
    </w:p>
  </w:footnote>
  <w:footnote w:type="continuationSeparator" w:id="0">
    <w:p w14:paraId="75D03760" w14:textId="77777777" w:rsidR="003044A2" w:rsidRDefault="003044A2" w:rsidP="001E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083CD" w14:textId="68ACC7B6" w:rsidR="001E2DCA" w:rsidRPr="00E5295C" w:rsidRDefault="00E5295C" w:rsidP="00E5295C">
    <w:pPr>
      <w:tabs>
        <w:tab w:val="center" w:pos="6979"/>
        <w:tab w:val="left" w:pos="10030"/>
      </w:tabs>
      <w:rPr>
        <w:b/>
        <w:bCs/>
        <w:sz w:val="16"/>
        <w:szCs w:val="16"/>
      </w:rPr>
    </w:pPr>
    <w:r>
      <w:rPr>
        <w:b/>
        <w:bCs/>
        <w:sz w:val="24"/>
        <w:szCs w:val="24"/>
      </w:rPr>
      <w:tab/>
    </w:r>
    <w:r w:rsidR="001E2DCA" w:rsidRPr="001E2DCA">
      <w:rPr>
        <w:b/>
        <w:bCs/>
        <w:sz w:val="24"/>
        <w:szCs w:val="24"/>
      </w:rPr>
      <w:t>Summary of Internal Audit Work 202</w:t>
    </w:r>
    <w:r w:rsidR="00C93774">
      <w:rPr>
        <w:b/>
        <w:bCs/>
        <w:sz w:val="24"/>
        <w:szCs w:val="24"/>
      </w:rPr>
      <w:t>2</w:t>
    </w:r>
    <w:r w:rsidR="001E2DCA" w:rsidRPr="001E2DCA">
      <w:rPr>
        <w:b/>
        <w:bCs/>
        <w:sz w:val="24"/>
        <w:szCs w:val="24"/>
      </w:rPr>
      <w:t>/2</w:t>
    </w:r>
    <w:r w:rsidR="00C93774">
      <w:rPr>
        <w:b/>
        <w:bCs/>
        <w:sz w:val="24"/>
        <w:szCs w:val="24"/>
      </w:rPr>
      <w:t>3</w:t>
    </w:r>
    <w:r>
      <w:rPr>
        <w:b/>
        <w:bCs/>
        <w:sz w:val="24"/>
        <w:szCs w:val="24"/>
      </w:rPr>
      <w:tab/>
    </w:r>
    <w:r w:rsidRPr="00E5295C">
      <w:rPr>
        <w:b/>
        <w:bCs/>
        <w:sz w:val="16"/>
        <w:szCs w:val="16"/>
      </w:rPr>
      <w:t xml:space="preserve">                                                     Appendix</w:t>
    </w:r>
    <w:r>
      <w:rPr>
        <w:b/>
        <w:bCs/>
        <w:sz w:val="24"/>
        <w:szCs w:val="24"/>
      </w:rPr>
      <w:t xml:space="preserve"> </w:t>
    </w:r>
    <w:r w:rsidRPr="00E5295C">
      <w:rPr>
        <w:b/>
        <w:bCs/>
        <w:sz w:val="16"/>
        <w:szCs w:val="16"/>
      </w:rPr>
      <w:t>A</w:t>
    </w:r>
  </w:p>
  <w:tbl>
    <w:tblPr>
      <w:tblStyle w:val="TableGrid"/>
      <w:tblW w:w="14596" w:type="dxa"/>
      <w:tblLayout w:type="fixed"/>
      <w:tblLook w:val="04A0" w:firstRow="1" w:lastRow="0" w:firstColumn="1" w:lastColumn="0" w:noHBand="0" w:noVBand="1"/>
    </w:tblPr>
    <w:tblGrid>
      <w:gridCol w:w="2726"/>
      <w:gridCol w:w="1380"/>
      <w:gridCol w:w="10490"/>
    </w:tblGrid>
    <w:tr w:rsidR="007D78AF" w14:paraId="04891368" w14:textId="77777777" w:rsidTr="007D78AF">
      <w:tc>
        <w:tcPr>
          <w:tcW w:w="2726" w:type="dxa"/>
          <w:shd w:val="clear" w:color="auto" w:fill="D9E2F3" w:themeFill="accent1" w:themeFillTint="33"/>
        </w:tcPr>
        <w:p w14:paraId="56DD0725" w14:textId="634580F7" w:rsidR="007D78AF" w:rsidRPr="001E2DCA" w:rsidRDefault="006B2DC7" w:rsidP="001E2DCA">
          <w:pPr>
            <w:rPr>
              <w:b/>
              <w:bCs/>
            </w:rPr>
          </w:pPr>
          <w:r>
            <w:rPr>
              <w:b/>
              <w:bCs/>
            </w:rPr>
            <w:t>Internal Audit Plan 202</w:t>
          </w:r>
          <w:r w:rsidR="00C93774">
            <w:rPr>
              <w:b/>
              <w:bCs/>
            </w:rPr>
            <w:t>2</w:t>
          </w:r>
          <w:r>
            <w:rPr>
              <w:b/>
              <w:bCs/>
            </w:rPr>
            <w:t>-2</w:t>
          </w:r>
          <w:r w:rsidR="00C93774">
            <w:rPr>
              <w:b/>
              <w:bCs/>
            </w:rPr>
            <w:t>3</w:t>
          </w:r>
        </w:p>
      </w:tc>
      <w:tc>
        <w:tcPr>
          <w:tcW w:w="1380" w:type="dxa"/>
          <w:shd w:val="clear" w:color="auto" w:fill="D9E2F3" w:themeFill="accent1" w:themeFillTint="33"/>
        </w:tcPr>
        <w:p w14:paraId="7867EEB4" w14:textId="77777777" w:rsidR="007D78AF" w:rsidRPr="001E2DCA" w:rsidRDefault="007D78AF" w:rsidP="001E2DCA">
          <w:pPr>
            <w:rPr>
              <w:b/>
              <w:bCs/>
            </w:rPr>
          </w:pPr>
          <w:r w:rsidRPr="001E2DCA">
            <w:rPr>
              <w:b/>
              <w:bCs/>
            </w:rPr>
            <w:t>Assurance Rating</w:t>
          </w:r>
        </w:p>
      </w:tc>
      <w:tc>
        <w:tcPr>
          <w:tcW w:w="10490" w:type="dxa"/>
          <w:shd w:val="clear" w:color="auto" w:fill="D9E2F3" w:themeFill="accent1" w:themeFillTint="33"/>
        </w:tcPr>
        <w:p w14:paraId="463D6E8B" w14:textId="77777777" w:rsidR="007D78AF" w:rsidRPr="001E2DCA" w:rsidRDefault="007D78AF" w:rsidP="001E2DCA">
          <w:pPr>
            <w:rPr>
              <w:b/>
              <w:bCs/>
            </w:rPr>
          </w:pPr>
          <w:r w:rsidRPr="001E2DCA">
            <w:rPr>
              <w:b/>
              <w:bCs/>
            </w:rPr>
            <w:t>Commentary</w:t>
          </w:r>
        </w:p>
      </w:tc>
    </w:tr>
  </w:tbl>
  <w:p w14:paraId="0FC9D8D5" w14:textId="58F93E43" w:rsidR="001E2DCA" w:rsidRDefault="001E2DCA">
    <w:pPr>
      <w:pStyle w:val="Header"/>
    </w:pPr>
  </w:p>
  <w:p w14:paraId="685F1A78" w14:textId="77777777" w:rsidR="001E2DCA" w:rsidRDefault="001E2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67F5"/>
    <w:multiLevelType w:val="hybridMultilevel"/>
    <w:tmpl w:val="D68A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C0212"/>
    <w:multiLevelType w:val="hybridMultilevel"/>
    <w:tmpl w:val="65A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6735E"/>
    <w:multiLevelType w:val="hybridMultilevel"/>
    <w:tmpl w:val="6210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B305E"/>
    <w:multiLevelType w:val="hybridMultilevel"/>
    <w:tmpl w:val="C6F6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F61D2"/>
    <w:multiLevelType w:val="hybridMultilevel"/>
    <w:tmpl w:val="14349198"/>
    <w:lvl w:ilvl="0" w:tplc="8200D1CA">
      <w:start w:val="1"/>
      <w:numFmt w:val="bullet"/>
      <w:lvlText w:val=""/>
      <w:lvlJc w:val="left"/>
      <w:pPr>
        <w:ind w:left="720" w:hanging="360"/>
      </w:pPr>
      <w:rPr>
        <w:rFonts w:ascii="Wingdings" w:hAnsi="Wingdings"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E596A"/>
    <w:multiLevelType w:val="hybridMultilevel"/>
    <w:tmpl w:val="1C6A7A7C"/>
    <w:lvl w:ilvl="0" w:tplc="8200D1CA">
      <w:start w:val="1"/>
      <w:numFmt w:val="bullet"/>
      <w:lvlText w:val=""/>
      <w:lvlJc w:val="left"/>
      <w:pPr>
        <w:ind w:left="720" w:hanging="360"/>
      </w:pPr>
      <w:rPr>
        <w:rFonts w:ascii="Wingdings" w:hAnsi="Wingdings"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05A31"/>
    <w:multiLevelType w:val="hybridMultilevel"/>
    <w:tmpl w:val="9B0A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A67564"/>
    <w:multiLevelType w:val="hybridMultilevel"/>
    <w:tmpl w:val="C4E4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47740"/>
    <w:multiLevelType w:val="hybridMultilevel"/>
    <w:tmpl w:val="3290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D23A2"/>
    <w:multiLevelType w:val="hybridMultilevel"/>
    <w:tmpl w:val="AF20F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C130DE"/>
    <w:multiLevelType w:val="hybridMultilevel"/>
    <w:tmpl w:val="AB4E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D6DD8"/>
    <w:multiLevelType w:val="hybridMultilevel"/>
    <w:tmpl w:val="E2741314"/>
    <w:lvl w:ilvl="0" w:tplc="61BC0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F00E5"/>
    <w:multiLevelType w:val="hybridMultilevel"/>
    <w:tmpl w:val="C35C3814"/>
    <w:lvl w:ilvl="0" w:tplc="4FE20566">
      <w:start w:val="1"/>
      <w:numFmt w:val="decimal"/>
      <w:lvlText w:val="%1."/>
      <w:lvlJc w:val="left"/>
      <w:pPr>
        <w:ind w:left="360" w:hanging="360"/>
      </w:pPr>
      <w:rPr>
        <w:rFonts w:hint="default"/>
        <w:b w:val="0"/>
        <w:bCs w:val="0"/>
        <w:i w:val="0"/>
        <w:color w:val="auto"/>
        <w:sz w:val="22"/>
        <w:szCs w:val="22"/>
      </w:rPr>
    </w:lvl>
    <w:lvl w:ilvl="1" w:tplc="978E8F6A" w:tentative="1">
      <w:start w:val="1"/>
      <w:numFmt w:val="lowerLetter"/>
      <w:lvlText w:val="%2."/>
      <w:lvlJc w:val="left"/>
      <w:pPr>
        <w:ind w:left="1080" w:hanging="360"/>
      </w:pPr>
    </w:lvl>
    <w:lvl w:ilvl="2" w:tplc="5D4E0036" w:tentative="1">
      <w:start w:val="1"/>
      <w:numFmt w:val="lowerRoman"/>
      <w:lvlText w:val="%3."/>
      <w:lvlJc w:val="right"/>
      <w:pPr>
        <w:ind w:left="1800" w:hanging="180"/>
      </w:pPr>
    </w:lvl>
    <w:lvl w:ilvl="3" w:tplc="5288B320" w:tentative="1">
      <w:start w:val="1"/>
      <w:numFmt w:val="decimal"/>
      <w:lvlText w:val="%4."/>
      <w:lvlJc w:val="left"/>
      <w:pPr>
        <w:ind w:left="2520" w:hanging="360"/>
      </w:pPr>
    </w:lvl>
    <w:lvl w:ilvl="4" w:tplc="6D8061A2" w:tentative="1">
      <w:start w:val="1"/>
      <w:numFmt w:val="lowerLetter"/>
      <w:lvlText w:val="%5."/>
      <w:lvlJc w:val="left"/>
      <w:pPr>
        <w:ind w:left="3240" w:hanging="360"/>
      </w:pPr>
    </w:lvl>
    <w:lvl w:ilvl="5" w:tplc="19C4F24A" w:tentative="1">
      <w:start w:val="1"/>
      <w:numFmt w:val="lowerRoman"/>
      <w:lvlText w:val="%6."/>
      <w:lvlJc w:val="right"/>
      <w:pPr>
        <w:ind w:left="3960" w:hanging="180"/>
      </w:pPr>
    </w:lvl>
    <w:lvl w:ilvl="6" w:tplc="B48E48A8" w:tentative="1">
      <w:start w:val="1"/>
      <w:numFmt w:val="decimal"/>
      <w:lvlText w:val="%7."/>
      <w:lvlJc w:val="left"/>
      <w:pPr>
        <w:ind w:left="4680" w:hanging="360"/>
      </w:pPr>
    </w:lvl>
    <w:lvl w:ilvl="7" w:tplc="A7D4E73E" w:tentative="1">
      <w:start w:val="1"/>
      <w:numFmt w:val="lowerLetter"/>
      <w:lvlText w:val="%8."/>
      <w:lvlJc w:val="left"/>
      <w:pPr>
        <w:ind w:left="5400" w:hanging="360"/>
      </w:pPr>
    </w:lvl>
    <w:lvl w:ilvl="8" w:tplc="ED6CCE94" w:tentative="1">
      <w:start w:val="1"/>
      <w:numFmt w:val="lowerRoman"/>
      <w:lvlText w:val="%9."/>
      <w:lvlJc w:val="right"/>
      <w:pPr>
        <w:ind w:left="6120" w:hanging="180"/>
      </w:pPr>
    </w:lvl>
  </w:abstractNum>
  <w:abstractNum w:abstractNumId="13" w15:restartNumberingAfterBreak="0">
    <w:nsid w:val="62702D09"/>
    <w:multiLevelType w:val="hybridMultilevel"/>
    <w:tmpl w:val="BC7E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8493B"/>
    <w:multiLevelType w:val="hybridMultilevel"/>
    <w:tmpl w:val="290A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8296A"/>
    <w:multiLevelType w:val="hybridMultilevel"/>
    <w:tmpl w:val="F92A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2712B2"/>
    <w:multiLevelType w:val="hybridMultilevel"/>
    <w:tmpl w:val="C4241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85E10CB"/>
    <w:multiLevelType w:val="hybridMultilevel"/>
    <w:tmpl w:val="E8CA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E86B80"/>
    <w:multiLevelType w:val="hybridMultilevel"/>
    <w:tmpl w:val="9FB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84263"/>
    <w:multiLevelType w:val="hybridMultilevel"/>
    <w:tmpl w:val="06A64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0"/>
  </w:num>
  <w:num w:numId="5">
    <w:abstractNumId w:val="15"/>
  </w:num>
  <w:num w:numId="6">
    <w:abstractNumId w:val="11"/>
  </w:num>
  <w:num w:numId="7">
    <w:abstractNumId w:val="3"/>
  </w:num>
  <w:num w:numId="8">
    <w:abstractNumId w:val="17"/>
  </w:num>
  <w:num w:numId="9">
    <w:abstractNumId w:val="13"/>
  </w:num>
  <w:num w:numId="10">
    <w:abstractNumId w:val="8"/>
  </w:num>
  <w:num w:numId="11">
    <w:abstractNumId w:val="2"/>
  </w:num>
  <w:num w:numId="12">
    <w:abstractNumId w:val="7"/>
  </w:num>
  <w:num w:numId="13">
    <w:abstractNumId w:val="19"/>
  </w:num>
  <w:num w:numId="14">
    <w:abstractNumId w:val="14"/>
  </w:num>
  <w:num w:numId="15">
    <w:abstractNumId w:val="5"/>
  </w:num>
  <w:num w:numId="16">
    <w:abstractNumId w:val="4"/>
  </w:num>
  <w:num w:numId="17">
    <w:abstractNumId w:val="1"/>
  </w:num>
  <w:num w:numId="18">
    <w:abstractNumId w:val="0"/>
  </w:num>
  <w:num w:numId="19">
    <w:abstractNumId w:val="18"/>
  </w:num>
  <w:num w:numId="20">
    <w:abstractNumId w:val="16"/>
    <w:lvlOverride w:ilvl="0"/>
    <w:lvlOverride w:ilvl="1"/>
    <w:lvlOverride w:ilvl="2"/>
    <w:lvlOverride w:ilvl="3"/>
    <w:lvlOverride w:ilvl="4"/>
    <w:lvlOverride w:ilvl="5"/>
    <w:lvlOverride w:ilvl="6"/>
    <w:lvlOverride w:ilvl="7"/>
    <w:lvlOverride w:ilv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B5"/>
    <w:rsid w:val="00065D07"/>
    <w:rsid w:val="00070EE6"/>
    <w:rsid w:val="00072BAB"/>
    <w:rsid w:val="00140ABA"/>
    <w:rsid w:val="00152CF2"/>
    <w:rsid w:val="0016596B"/>
    <w:rsid w:val="001929F2"/>
    <w:rsid w:val="001D3D4F"/>
    <w:rsid w:val="001E2DCA"/>
    <w:rsid w:val="00210479"/>
    <w:rsid w:val="00213295"/>
    <w:rsid w:val="002634B5"/>
    <w:rsid w:val="002B0361"/>
    <w:rsid w:val="003044A2"/>
    <w:rsid w:val="003860AD"/>
    <w:rsid w:val="00406DB7"/>
    <w:rsid w:val="00464B7A"/>
    <w:rsid w:val="004D5C54"/>
    <w:rsid w:val="00536B47"/>
    <w:rsid w:val="005713B4"/>
    <w:rsid w:val="0057728A"/>
    <w:rsid w:val="005C6030"/>
    <w:rsid w:val="005D6736"/>
    <w:rsid w:val="005D71CD"/>
    <w:rsid w:val="005E40C8"/>
    <w:rsid w:val="0061723E"/>
    <w:rsid w:val="00637512"/>
    <w:rsid w:val="00641F77"/>
    <w:rsid w:val="00696BD1"/>
    <w:rsid w:val="006B070B"/>
    <w:rsid w:val="006B2DC7"/>
    <w:rsid w:val="006C521F"/>
    <w:rsid w:val="0070351F"/>
    <w:rsid w:val="00736C13"/>
    <w:rsid w:val="00740559"/>
    <w:rsid w:val="007609B0"/>
    <w:rsid w:val="00761DC9"/>
    <w:rsid w:val="0076390A"/>
    <w:rsid w:val="007814A3"/>
    <w:rsid w:val="00787CFB"/>
    <w:rsid w:val="007B40E0"/>
    <w:rsid w:val="007D78AF"/>
    <w:rsid w:val="00812C92"/>
    <w:rsid w:val="00845AF4"/>
    <w:rsid w:val="00846DF1"/>
    <w:rsid w:val="0086700B"/>
    <w:rsid w:val="00867F70"/>
    <w:rsid w:val="00AE1775"/>
    <w:rsid w:val="00C406C1"/>
    <w:rsid w:val="00C45666"/>
    <w:rsid w:val="00C93774"/>
    <w:rsid w:val="00CB4FA5"/>
    <w:rsid w:val="00D270B9"/>
    <w:rsid w:val="00D56BE3"/>
    <w:rsid w:val="00DB0BF6"/>
    <w:rsid w:val="00E2468E"/>
    <w:rsid w:val="00E4481F"/>
    <w:rsid w:val="00E5295C"/>
    <w:rsid w:val="00E80346"/>
    <w:rsid w:val="00E92E28"/>
    <w:rsid w:val="00EA6E45"/>
    <w:rsid w:val="00F12904"/>
    <w:rsid w:val="00F43552"/>
    <w:rsid w:val="00FB3075"/>
    <w:rsid w:val="00FC08D6"/>
    <w:rsid w:val="00FD3EC9"/>
    <w:rsid w:val="00F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308D"/>
  <w15:chartTrackingRefBased/>
  <w15:docId w15:val="{7C45318C-FC36-4002-ADD0-5F9A73D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2D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DCA"/>
  </w:style>
  <w:style w:type="paragraph" w:styleId="Footer">
    <w:name w:val="footer"/>
    <w:basedOn w:val="Normal"/>
    <w:link w:val="FooterChar"/>
    <w:uiPriority w:val="99"/>
    <w:unhideWhenUsed/>
    <w:rsid w:val="001E2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DCA"/>
  </w:style>
  <w:style w:type="paragraph" w:customStyle="1" w:styleId="Default">
    <w:name w:val="Default"/>
    <w:rsid w:val="007405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12904"/>
    <w:pPr>
      <w:ind w:left="720"/>
      <w:contextualSpacing/>
    </w:pPr>
  </w:style>
  <w:style w:type="paragraph" w:styleId="BalloonText">
    <w:name w:val="Balloon Text"/>
    <w:basedOn w:val="Normal"/>
    <w:link w:val="BalloonTextChar"/>
    <w:uiPriority w:val="99"/>
    <w:semiHidden/>
    <w:unhideWhenUsed/>
    <w:rsid w:val="0070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1F"/>
    <w:rPr>
      <w:rFonts w:ascii="Segoe UI" w:hAnsi="Segoe UI" w:cs="Segoe UI"/>
      <w:sz w:val="18"/>
      <w:szCs w:val="18"/>
    </w:rPr>
  </w:style>
  <w:style w:type="character" w:customStyle="1" w:styleId="Heading2Char">
    <w:name w:val="Heading 2 Char"/>
    <w:basedOn w:val="DefaultParagraphFont"/>
    <w:link w:val="Heading2"/>
    <w:uiPriority w:val="9"/>
    <w:rsid w:val="006B2DC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406DB7"/>
    <w:rPr>
      <w:sz w:val="16"/>
      <w:szCs w:val="16"/>
    </w:rPr>
  </w:style>
  <w:style w:type="paragraph" w:styleId="CommentText">
    <w:name w:val="annotation text"/>
    <w:basedOn w:val="Normal"/>
    <w:link w:val="CommentTextChar"/>
    <w:uiPriority w:val="99"/>
    <w:semiHidden/>
    <w:unhideWhenUsed/>
    <w:rsid w:val="00406DB7"/>
    <w:pPr>
      <w:spacing w:line="240" w:lineRule="auto"/>
    </w:pPr>
    <w:rPr>
      <w:sz w:val="20"/>
      <w:szCs w:val="20"/>
    </w:rPr>
  </w:style>
  <w:style w:type="character" w:customStyle="1" w:styleId="CommentTextChar">
    <w:name w:val="Comment Text Char"/>
    <w:basedOn w:val="DefaultParagraphFont"/>
    <w:link w:val="CommentText"/>
    <w:uiPriority w:val="99"/>
    <w:semiHidden/>
    <w:rsid w:val="00406DB7"/>
    <w:rPr>
      <w:sz w:val="20"/>
      <w:szCs w:val="20"/>
    </w:rPr>
  </w:style>
  <w:style w:type="paragraph" w:styleId="CommentSubject">
    <w:name w:val="annotation subject"/>
    <w:basedOn w:val="CommentText"/>
    <w:next w:val="CommentText"/>
    <w:link w:val="CommentSubjectChar"/>
    <w:uiPriority w:val="99"/>
    <w:semiHidden/>
    <w:unhideWhenUsed/>
    <w:rsid w:val="00406DB7"/>
    <w:rPr>
      <w:b/>
      <w:bCs/>
    </w:rPr>
  </w:style>
  <w:style w:type="character" w:customStyle="1" w:styleId="CommentSubjectChar">
    <w:name w:val="Comment Subject Char"/>
    <w:basedOn w:val="CommentTextChar"/>
    <w:link w:val="CommentSubject"/>
    <w:uiPriority w:val="99"/>
    <w:semiHidden/>
    <w:rsid w:val="00406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239">
      <w:bodyDiv w:val="1"/>
      <w:marLeft w:val="0"/>
      <w:marRight w:val="0"/>
      <w:marTop w:val="0"/>
      <w:marBottom w:val="0"/>
      <w:divBdr>
        <w:top w:val="none" w:sz="0" w:space="0" w:color="auto"/>
        <w:left w:val="none" w:sz="0" w:space="0" w:color="auto"/>
        <w:bottom w:val="none" w:sz="0" w:space="0" w:color="auto"/>
        <w:right w:val="none" w:sz="0" w:space="0" w:color="auto"/>
      </w:divBdr>
    </w:div>
    <w:div w:id="140467930">
      <w:bodyDiv w:val="1"/>
      <w:marLeft w:val="0"/>
      <w:marRight w:val="0"/>
      <w:marTop w:val="0"/>
      <w:marBottom w:val="0"/>
      <w:divBdr>
        <w:top w:val="none" w:sz="0" w:space="0" w:color="auto"/>
        <w:left w:val="none" w:sz="0" w:space="0" w:color="auto"/>
        <w:bottom w:val="none" w:sz="0" w:space="0" w:color="auto"/>
        <w:right w:val="none" w:sz="0" w:space="0" w:color="auto"/>
      </w:divBdr>
    </w:div>
    <w:div w:id="164902947">
      <w:bodyDiv w:val="1"/>
      <w:marLeft w:val="0"/>
      <w:marRight w:val="0"/>
      <w:marTop w:val="0"/>
      <w:marBottom w:val="0"/>
      <w:divBdr>
        <w:top w:val="none" w:sz="0" w:space="0" w:color="auto"/>
        <w:left w:val="none" w:sz="0" w:space="0" w:color="auto"/>
        <w:bottom w:val="none" w:sz="0" w:space="0" w:color="auto"/>
        <w:right w:val="none" w:sz="0" w:space="0" w:color="auto"/>
      </w:divBdr>
    </w:div>
    <w:div w:id="179321753">
      <w:bodyDiv w:val="1"/>
      <w:marLeft w:val="0"/>
      <w:marRight w:val="0"/>
      <w:marTop w:val="0"/>
      <w:marBottom w:val="0"/>
      <w:divBdr>
        <w:top w:val="none" w:sz="0" w:space="0" w:color="auto"/>
        <w:left w:val="none" w:sz="0" w:space="0" w:color="auto"/>
        <w:bottom w:val="none" w:sz="0" w:space="0" w:color="auto"/>
        <w:right w:val="none" w:sz="0" w:space="0" w:color="auto"/>
      </w:divBdr>
    </w:div>
    <w:div w:id="237325248">
      <w:bodyDiv w:val="1"/>
      <w:marLeft w:val="0"/>
      <w:marRight w:val="0"/>
      <w:marTop w:val="0"/>
      <w:marBottom w:val="0"/>
      <w:divBdr>
        <w:top w:val="none" w:sz="0" w:space="0" w:color="auto"/>
        <w:left w:val="none" w:sz="0" w:space="0" w:color="auto"/>
        <w:bottom w:val="none" w:sz="0" w:space="0" w:color="auto"/>
        <w:right w:val="none" w:sz="0" w:space="0" w:color="auto"/>
      </w:divBdr>
    </w:div>
    <w:div w:id="255482768">
      <w:bodyDiv w:val="1"/>
      <w:marLeft w:val="0"/>
      <w:marRight w:val="0"/>
      <w:marTop w:val="0"/>
      <w:marBottom w:val="0"/>
      <w:divBdr>
        <w:top w:val="none" w:sz="0" w:space="0" w:color="auto"/>
        <w:left w:val="none" w:sz="0" w:space="0" w:color="auto"/>
        <w:bottom w:val="none" w:sz="0" w:space="0" w:color="auto"/>
        <w:right w:val="none" w:sz="0" w:space="0" w:color="auto"/>
      </w:divBdr>
    </w:div>
    <w:div w:id="328751431">
      <w:bodyDiv w:val="1"/>
      <w:marLeft w:val="0"/>
      <w:marRight w:val="0"/>
      <w:marTop w:val="0"/>
      <w:marBottom w:val="0"/>
      <w:divBdr>
        <w:top w:val="none" w:sz="0" w:space="0" w:color="auto"/>
        <w:left w:val="none" w:sz="0" w:space="0" w:color="auto"/>
        <w:bottom w:val="none" w:sz="0" w:space="0" w:color="auto"/>
        <w:right w:val="none" w:sz="0" w:space="0" w:color="auto"/>
      </w:divBdr>
    </w:div>
    <w:div w:id="543759945">
      <w:bodyDiv w:val="1"/>
      <w:marLeft w:val="0"/>
      <w:marRight w:val="0"/>
      <w:marTop w:val="0"/>
      <w:marBottom w:val="0"/>
      <w:divBdr>
        <w:top w:val="none" w:sz="0" w:space="0" w:color="auto"/>
        <w:left w:val="none" w:sz="0" w:space="0" w:color="auto"/>
        <w:bottom w:val="none" w:sz="0" w:space="0" w:color="auto"/>
        <w:right w:val="none" w:sz="0" w:space="0" w:color="auto"/>
      </w:divBdr>
    </w:div>
    <w:div w:id="756635117">
      <w:bodyDiv w:val="1"/>
      <w:marLeft w:val="0"/>
      <w:marRight w:val="0"/>
      <w:marTop w:val="0"/>
      <w:marBottom w:val="0"/>
      <w:divBdr>
        <w:top w:val="none" w:sz="0" w:space="0" w:color="auto"/>
        <w:left w:val="none" w:sz="0" w:space="0" w:color="auto"/>
        <w:bottom w:val="none" w:sz="0" w:space="0" w:color="auto"/>
        <w:right w:val="none" w:sz="0" w:space="0" w:color="auto"/>
      </w:divBdr>
    </w:div>
    <w:div w:id="775364942">
      <w:bodyDiv w:val="1"/>
      <w:marLeft w:val="0"/>
      <w:marRight w:val="0"/>
      <w:marTop w:val="0"/>
      <w:marBottom w:val="0"/>
      <w:divBdr>
        <w:top w:val="none" w:sz="0" w:space="0" w:color="auto"/>
        <w:left w:val="none" w:sz="0" w:space="0" w:color="auto"/>
        <w:bottom w:val="none" w:sz="0" w:space="0" w:color="auto"/>
        <w:right w:val="none" w:sz="0" w:space="0" w:color="auto"/>
      </w:divBdr>
    </w:div>
    <w:div w:id="890193407">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3140122">
      <w:bodyDiv w:val="1"/>
      <w:marLeft w:val="0"/>
      <w:marRight w:val="0"/>
      <w:marTop w:val="0"/>
      <w:marBottom w:val="0"/>
      <w:divBdr>
        <w:top w:val="none" w:sz="0" w:space="0" w:color="auto"/>
        <w:left w:val="none" w:sz="0" w:space="0" w:color="auto"/>
        <w:bottom w:val="none" w:sz="0" w:space="0" w:color="auto"/>
        <w:right w:val="none" w:sz="0" w:space="0" w:color="auto"/>
      </w:divBdr>
    </w:div>
    <w:div w:id="1131168742">
      <w:bodyDiv w:val="1"/>
      <w:marLeft w:val="0"/>
      <w:marRight w:val="0"/>
      <w:marTop w:val="0"/>
      <w:marBottom w:val="0"/>
      <w:divBdr>
        <w:top w:val="none" w:sz="0" w:space="0" w:color="auto"/>
        <w:left w:val="none" w:sz="0" w:space="0" w:color="auto"/>
        <w:bottom w:val="none" w:sz="0" w:space="0" w:color="auto"/>
        <w:right w:val="none" w:sz="0" w:space="0" w:color="auto"/>
      </w:divBdr>
    </w:div>
    <w:div w:id="1354260718">
      <w:bodyDiv w:val="1"/>
      <w:marLeft w:val="0"/>
      <w:marRight w:val="0"/>
      <w:marTop w:val="0"/>
      <w:marBottom w:val="0"/>
      <w:divBdr>
        <w:top w:val="none" w:sz="0" w:space="0" w:color="auto"/>
        <w:left w:val="none" w:sz="0" w:space="0" w:color="auto"/>
        <w:bottom w:val="none" w:sz="0" w:space="0" w:color="auto"/>
        <w:right w:val="none" w:sz="0" w:space="0" w:color="auto"/>
      </w:divBdr>
    </w:div>
    <w:div w:id="1427774305">
      <w:bodyDiv w:val="1"/>
      <w:marLeft w:val="0"/>
      <w:marRight w:val="0"/>
      <w:marTop w:val="0"/>
      <w:marBottom w:val="0"/>
      <w:divBdr>
        <w:top w:val="none" w:sz="0" w:space="0" w:color="auto"/>
        <w:left w:val="none" w:sz="0" w:space="0" w:color="auto"/>
        <w:bottom w:val="none" w:sz="0" w:space="0" w:color="auto"/>
        <w:right w:val="none" w:sz="0" w:space="0" w:color="auto"/>
      </w:divBdr>
    </w:div>
    <w:div w:id="1464615959">
      <w:bodyDiv w:val="1"/>
      <w:marLeft w:val="0"/>
      <w:marRight w:val="0"/>
      <w:marTop w:val="0"/>
      <w:marBottom w:val="0"/>
      <w:divBdr>
        <w:top w:val="none" w:sz="0" w:space="0" w:color="auto"/>
        <w:left w:val="none" w:sz="0" w:space="0" w:color="auto"/>
        <w:bottom w:val="none" w:sz="0" w:space="0" w:color="auto"/>
        <w:right w:val="none" w:sz="0" w:space="0" w:color="auto"/>
      </w:divBdr>
    </w:div>
    <w:div w:id="1746225389">
      <w:bodyDiv w:val="1"/>
      <w:marLeft w:val="0"/>
      <w:marRight w:val="0"/>
      <w:marTop w:val="0"/>
      <w:marBottom w:val="0"/>
      <w:divBdr>
        <w:top w:val="none" w:sz="0" w:space="0" w:color="auto"/>
        <w:left w:val="none" w:sz="0" w:space="0" w:color="auto"/>
        <w:bottom w:val="none" w:sz="0" w:space="0" w:color="auto"/>
        <w:right w:val="none" w:sz="0" w:space="0" w:color="auto"/>
      </w:divBdr>
    </w:div>
    <w:div w:id="1815564942">
      <w:bodyDiv w:val="1"/>
      <w:marLeft w:val="0"/>
      <w:marRight w:val="0"/>
      <w:marTop w:val="0"/>
      <w:marBottom w:val="0"/>
      <w:divBdr>
        <w:top w:val="none" w:sz="0" w:space="0" w:color="auto"/>
        <w:left w:val="none" w:sz="0" w:space="0" w:color="auto"/>
        <w:bottom w:val="none" w:sz="0" w:space="0" w:color="auto"/>
        <w:right w:val="none" w:sz="0" w:space="0" w:color="auto"/>
      </w:divBdr>
    </w:div>
    <w:div w:id="1840656571">
      <w:bodyDiv w:val="1"/>
      <w:marLeft w:val="0"/>
      <w:marRight w:val="0"/>
      <w:marTop w:val="0"/>
      <w:marBottom w:val="0"/>
      <w:divBdr>
        <w:top w:val="none" w:sz="0" w:space="0" w:color="auto"/>
        <w:left w:val="none" w:sz="0" w:space="0" w:color="auto"/>
        <w:bottom w:val="none" w:sz="0" w:space="0" w:color="auto"/>
        <w:right w:val="none" w:sz="0" w:space="0" w:color="auto"/>
      </w:divBdr>
    </w:div>
    <w:div w:id="1904176393">
      <w:bodyDiv w:val="1"/>
      <w:marLeft w:val="0"/>
      <w:marRight w:val="0"/>
      <w:marTop w:val="0"/>
      <w:marBottom w:val="0"/>
      <w:divBdr>
        <w:top w:val="none" w:sz="0" w:space="0" w:color="auto"/>
        <w:left w:val="none" w:sz="0" w:space="0" w:color="auto"/>
        <w:bottom w:val="none" w:sz="0" w:space="0" w:color="auto"/>
        <w:right w:val="none" w:sz="0" w:space="0" w:color="auto"/>
      </w:divBdr>
    </w:div>
    <w:div w:id="1952466432">
      <w:bodyDiv w:val="1"/>
      <w:marLeft w:val="0"/>
      <w:marRight w:val="0"/>
      <w:marTop w:val="0"/>
      <w:marBottom w:val="0"/>
      <w:divBdr>
        <w:top w:val="none" w:sz="0" w:space="0" w:color="auto"/>
        <w:left w:val="none" w:sz="0" w:space="0" w:color="auto"/>
        <w:bottom w:val="none" w:sz="0" w:space="0" w:color="auto"/>
        <w:right w:val="none" w:sz="0" w:space="0" w:color="auto"/>
      </w:divBdr>
    </w:div>
    <w:div w:id="2061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Highton</dc:creator>
  <cp:keywords/>
  <dc:description/>
  <cp:lastModifiedBy>Dawn Highton</cp:lastModifiedBy>
  <cp:revision>14</cp:revision>
  <cp:lastPrinted>2022-05-11T12:16:00Z</cp:lastPrinted>
  <dcterms:created xsi:type="dcterms:W3CDTF">2022-12-01T16:44:00Z</dcterms:created>
  <dcterms:modified xsi:type="dcterms:W3CDTF">2023-05-11T22:05:00Z</dcterms:modified>
</cp:coreProperties>
</file>